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DF8" w:rsidRPr="006A62C6" w:rsidRDefault="009A4DF8" w:rsidP="00096CF2">
      <w:pPr>
        <w:pStyle w:val="1"/>
        <w:shd w:val="clear" w:color="auto" w:fill="FFFFFF"/>
        <w:spacing w:line="273" w:lineRule="atLeast"/>
        <w:jc w:val="center"/>
        <w:rPr>
          <w:b/>
          <w:bCs/>
        </w:rPr>
      </w:pPr>
      <w:r w:rsidRPr="006A62C6">
        <w:rPr>
          <w:b/>
          <w:bCs/>
        </w:rPr>
        <w:t>Реабілітація дітей з інвалідністю</w:t>
      </w:r>
    </w:p>
    <w:p w:rsidR="009A4DF8" w:rsidRPr="00602DBF" w:rsidRDefault="009A4DF8" w:rsidP="00096CF2">
      <w:pPr>
        <w:textAlignment w:val="center"/>
        <w:rPr>
          <w:sz w:val="16"/>
          <w:szCs w:val="16"/>
          <w:lang w:val="uk-UA"/>
        </w:rPr>
      </w:pPr>
      <w:r w:rsidRPr="00B34F59">
        <w:rPr>
          <w:rStyle w:val="apple-converted-space"/>
        </w:rPr>
        <w:t> </w:t>
      </w:r>
    </w:p>
    <w:p w:rsidR="009A4DF8" w:rsidRPr="007C4BE2" w:rsidRDefault="009A4DF8" w:rsidP="00096CF2">
      <w:pPr>
        <w:pStyle w:val="rtejustify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7C4BE2">
        <w:rPr>
          <w:sz w:val="28"/>
          <w:szCs w:val="28"/>
          <w:lang w:val="uk-UA"/>
        </w:rPr>
        <w:t xml:space="preserve">У 2019 році </w:t>
      </w:r>
      <w:r>
        <w:rPr>
          <w:sz w:val="28"/>
          <w:szCs w:val="28"/>
          <w:lang w:val="uk-UA"/>
        </w:rPr>
        <w:t xml:space="preserve">було </w:t>
      </w:r>
      <w:r w:rsidRPr="007C4BE2">
        <w:rPr>
          <w:sz w:val="28"/>
          <w:szCs w:val="28"/>
          <w:lang w:val="uk-UA"/>
        </w:rPr>
        <w:t>запроваджен</w:t>
      </w:r>
      <w:r>
        <w:rPr>
          <w:sz w:val="28"/>
          <w:szCs w:val="28"/>
          <w:lang w:val="uk-UA"/>
        </w:rPr>
        <w:t>о</w:t>
      </w:r>
      <w:r w:rsidRPr="007C4BE2">
        <w:rPr>
          <w:sz w:val="28"/>
          <w:szCs w:val="28"/>
          <w:lang w:val="uk-UA"/>
        </w:rPr>
        <w:t xml:space="preserve"> новий механізм забезпечення заходами з реабілітації дітей з інвалідністю за принципом «гроші ходять за людиною»</w:t>
      </w:r>
      <w:r>
        <w:rPr>
          <w:sz w:val="28"/>
          <w:szCs w:val="28"/>
          <w:lang w:val="uk-UA"/>
        </w:rPr>
        <w:t>,що</w:t>
      </w:r>
      <w:r w:rsidRPr="007C4BE2">
        <w:rPr>
          <w:sz w:val="28"/>
          <w:szCs w:val="28"/>
          <w:lang w:val="uk-UA"/>
        </w:rPr>
        <w:t xml:space="preserve"> дозво</w:t>
      </w:r>
      <w:r>
        <w:rPr>
          <w:sz w:val="28"/>
          <w:szCs w:val="28"/>
          <w:lang w:val="uk-UA"/>
        </w:rPr>
        <w:t>лило</w:t>
      </w:r>
      <w:r w:rsidRPr="007C4BE2">
        <w:rPr>
          <w:sz w:val="28"/>
          <w:szCs w:val="28"/>
          <w:lang w:val="uk-UA"/>
        </w:rPr>
        <w:t xml:space="preserve"> покращити якість надання реабілітаційних послуг.</w:t>
      </w:r>
    </w:p>
    <w:p w:rsidR="009A4DF8" w:rsidRPr="007C4BE2" w:rsidRDefault="009A4DF8" w:rsidP="00096CF2">
      <w:pPr>
        <w:pStyle w:val="a3"/>
        <w:shd w:val="clear" w:color="auto" w:fill="F1F1F1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C4BE2">
        <w:rPr>
          <w:sz w:val="28"/>
          <w:szCs w:val="28"/>
          <w:lang w:val="uk-UA"/>
        </w:rPr>
        <w:t>На виконання Закону України „Про внесення змін до Закону України „Про Державний бюджет України на 2019 рік” від 31.10.2019 № 265-</w:t>
      </w:r>
      <w:r w:rsidRPr="007C4BE2">
        <w:rPr>
          <w:sz w:val="28"/>
          <w:szCs w:val="28"/>
        </w:rPr>
        <w:t>IX</w:t>
      </w:r>
      <w:r w:rsidRPr="007C4BE2">
        <w:rPr>
          <w:sz w:val="28"/>
          <w:szCs w:val="28"/>
          <w:lang w:val="uk-UA"/>
        </w:rPr>
        <w:t>, а також Закону України „Про Державний бюджет України на 2020 рік” Кабінетом Міністрів України прийнято 04.12.2019 постанову Кабінету Міністрів України № 994 „Про внесення змін до постанови Кабінету Міністрів України від 27</w:t>
      </w:r>
      <w:r w:rsidRPr="007C4BE2">
        <w:rPr>
          <w:sz w:val="28"/>
          <w:szCs w:val="28"/>
        </w:rPr>
        <w:t> </w:t>
      </w:r>
      <w:r w:rsidRPr="007C4BE2">
        <w:rPr>
          <w:sz w:val="28"/>
          <w:szCs w:val="28"/>
          <w:lang w:val="uk-UA"/>
        </w:rPr>
        <w:t xml:space="preserve"> березня 2019 р. № 309”. </w:t>
      </w:r>
      <w:r w:rsidRPr="008C44A5">
        <w:rPr>
          <w:b/>
          <w:bCs/>
          <w:sz w:val="28"/>
          <w:szCs w:val="28"/>
          <w:lang w:val="uk-UA"/>
        </w:rPr>
        <w:t>Це надає можливість забезпечити за принципом „гроші ходять за людиною” заходами з реабілітації дітей з інвалідністю не лише внаслідок дитячого церебрального паралічу, а також з іншими захворюваннями</w:t>
      </w:r>
      <w:r w:rsidRPr="007C4BE2">
        <w:rPr>
          <w:sz w:val="28"/>
          <w:szCs w:val="28"/>
          <w:lang w:val="uk-UA"/>
        </w:rPr>
        <w:t>, тобто дозволяє охопити більш ширшу аудиторію дітей з інвалідністю, які потребують допомоги, реабілітаційними послугами.</w:t>
      </w:r>
    </w:p>
    <w:p w:rsidR="009A4DF8" w:rsidRPr="007C4BE2" w:rsidRDefault="009A4DF8" w:rsidP="00096CF2">
      <w:pPr>
        <w:pStyle w:val="rtejustify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7C4BE2">
        <w:rPr>
          <w:sz w:val="28"/>
          <w:szCs w:val="28"/>
          <w:lang w:val="uk-UA"/>
        </w:rPr>
        <w:t>Бюджетні кошти спрямовуються на відшкодування вартості реабілітаційних заходів для дітей закладам охорони здоров’я будь-якої форми власності та організаційно-правової форми або їх відокремленим підрозділам, що забезпечують медичне обслуговування населення на основі відповідної ліцензії та професійної діяльності медичних (фармацевтичних) працівників, а також реабілітаційним установам, підприємствам, закладам, зокрема їх відділенням, структурним підрозділам незалежно від форми власності, які мають ліцензію на провадження господарської діяльності з медичної практики.</w:t>
      </w:r>
    </w:p>
    <w:p w:rsidR="009A4DF8" w:rsidRPr="007C4BE2" w:rsidRDefault="009A4DF8" w:rsidP="00096CF2">
      <w:pPr>
        <w:pStyle w:val="rtejustify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7C4BE2">
        <w:rPr>
          <w:sz w:val="28"/>
          <w:szCs w:val="28"/>
          <w:lang w:val="uk-UA"/>
        </w:rPr>
        <w:t>Перелік базових реабілітаційних заходів призначається індивідуально залежно від потреб дитини та включає:</w:t>
      </w:r>
    </w:p>
    <w:p w:rsidR="009A4DF8" w:rsidRPr="007C4BE2" w:rsidRDefault="009A4DF8" w:rsidP="00096CF2">
      <w:pPr>
        <w:numPr>
          <w:ilvl w:val="0"/>
          <w:numId w:val="1"/>
        </w:numPr>
        <w:tabs>
          <w:tab w:val="clear" w:pos="720"/>
        </w:tabs>
        <w:autoSpaceDE/>
        <w:autoSpaceDN/>
        <w:ind w:left="0" w:firstLine="851"/>
        <w:jc w:val="both"/>
        <w:rPr>
          <w:sz w:val="28"/>
          <w:szCs w:val="28"/>
          <w:lang w:val="uk-UA"/>
        </w:rPr>
      </w:pPr>
      <w:r w:rsidRPr="007C4BE2">
        <w:rPr>
          <w:sz w:val="28"/>
          <w:szCs w:val="28"/>
          <w:lang w:val="uk-UA"/>
        </w:rPr>
        <w:t>консультації лікарів, заняття з профільними лікарями і спеціалістами з реабілітації (лікар-невролог дитячий, логопед, лікар-психолог, лікар-педіатр, педагог соціальний, лікар-сурдолог, лікар фізичної та реабілітаційної медицини або лікар-фізіотерапевт, або лікар з лікувальної фізкультури, або лікар з лікувальної фізкультури і спортивної медицини, фізичний терапевт та інші);</w:t>
      </w:r>
    </w:p>
    <w:p w:rsidR="009A4DF8" w:rsidRPr="007C4BE2" w:rsidRDefault="009A4DF8" w:rsidP="00096CF2">
      <w:pPr>
        <w:numPr>
          <w:ilvl w:val="0"/>
          <w:numId w:val="1"/>
        </w:numPr>
        <w:tabs>
          <w:tab w:val="clear" w:pos="720"/>
        </w:tabs>
        <w:autoSpaceDE/>
        <w:autoSpaceDN/>
        <w:ind w:left="0" w:firstLine="851"/>
        <w:jc w:val="both"/>
        <w:rPr>
          <w:sz w:val="28"/>
          <w:szCs w:val="28"/>
          <w:lang w:val="uk-UA"/>
        </w:rPr>
      </w:pPr>
      <w:r w:rsidRPr="007C4BE2">
        <w:rPr>
          <w:sz w:val="28"/>
          <w:szCs w:val="28"/>
          <w:lang w:val="uk-UA"/>
        </w:rPr>
        <w:t>реабілітаційні послуги (комплекс процедур), зокрема фізичну терапію, лікувальну фізкультуру, масаж загальний, механотерапію за потребою (локомоторну терапію, мотомедтерапію), апаратну фізіотерапію (теплолікування, вібротерапію), метод динамічної пропріоцептивної корекції із застосуванням рефлекторно-навантажувального пристрою «Гравістат», логопедичну корекцію, психологічну корекцію, педагогічну корекцію, соціальну адаптацію тощо.</w:t>
      </w:r>
    </w:p>
    <w:p w:rsidR="009A4DF8" w:rsidRPr="00253B05" w:rsidRDefault="009A4DF8" w:rsidP="00096CF2">
      <w:pPr>
        <w:pStyle w:val="rtejustify"/>
        <w:spacing w:before="0" w:beforeAutospacing="0" w:after="0" w:afterAutospacing="0"/>
        <w:ind w:firstLine="540"/>
        <w:jc w:val="both"/>
        <w:rPr>
          <w:b/>
          <w:bCs/>
          <w:sz w:val="28"/>
          <w:szCs w:val="28"/>
          <w:lang w:val="uk-UA"/>
        </w:rPr>
      </w:pPr>
      <w:r w:rsidRPr="00253B05">
        <w:rPr>
          <w:b/>
          <w:bCs/>
          <w:sz w:val="28"/>
          <w:szCs w:val="28"/>
          <w:lang w:val="uk-UA"/>
        </w:rPr>
        <w:t>Вартість реабілітаційних заходів для кожної дитини визначається реабілітаційною установою відповідно до індивідуальної програми реабілітації, в якій зазначаються обсяг і строки проведення таких заходів.</w:t>
      </w:r>
    </w:p>
    <w:p w:rsidR="009A4DF8" w:rsidRPr="00A82998" w:rsidRDefault="009A4DF8" w:rsidP="00096CF2">
      <w:pPr>
        <w:pStyle w:val="rtejustify"/>
        <w:spacing w:before="0" w:beforeAutospacing="0" w:after="0" w:afterAutospacing="0"/>
        <w:ind w:firstLine="540"/>
        <w:jc w:val="both"/>
        <w:rPr>
          <w:b/>
          <w:bCs/>
          <w:sz w:val="28"/>
          <w:szCs w:val="28"/>
          <w:lang w:val="uk-UA"/>
        </w:rPr>
      </w:pPr>
      <w:r w:rsidRPr="00A82998">
        <w:rPr>
          <w:b/>
          <w:bCs/>
          <w:sz w:val="28"/>
          <w:szCs w:val="28"/>
          <w:lang w:val="uk-UA"/>
        </w:rPr>
        <w:t>Гранична вартість реабілітаційних заходів не перевищує для однієї дитини, яка відповідно до індивідуальної програми реабілітації за більшістю основних категорій життєдіяльності має обмеження I та II ступеня – 16 тис. гривень</w:t>
      </w:r>
      <w:r>
        <w:rPr>
          <w:b/>
          <w:bCs/>
          <w:sz w:val="28"/>
          <w:szCs w:val="28"/>
          <w:lang w:val="uk-UA"/>
        </w:rPr>
        <w:t>, III ступеня – 25 тис. гривень (станом на 01.01.2021р.).</w:t>
      </w:r>
    </w:p>
    <w:p w:rsidR="009A4DF8" w:rsidRPr="007C4BE2" w:rsidRDefault="009A4DF8" w:rsidP="00096CF2">
      <w:pPr>
        <w:pStyle w:val="rtejustify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7C4BE2">
        <w:rPr>
          <w:sz w:val="28"/>
          <w:szCs w:val="28"/>
          <w:lang w:val="uk-UA"/>
        </w:rPr>
        <w:t>Гранична вартість реабілітаційних заходів для однієї дитини-сироти та дитини, позбавленої батьківського піклування, яка відповідно до індивідуальної програми реабілітації за більшістю основних категорій життєдіяльності має обмеження I, II, III ступеня, збільшується на 50 відсотків для кожного ступеня.</w:t>
      </w:r>
    </w:p>
    <w:p w:rsidR="009A4DF8" w:rsidRPr="00751BE3" w:rsidRDefault="009A4DF8" w:rsidP="00096CF2">
      <w:pPr>
        <w:pStyle w:val="rtejustify"/>
        <w:spacing w:before="0" w:beforeAutospacing="0" w:after="0" w:afterAutospacing="0"/>
        <w:ind w:firstLine="540"/>
        <w:jc w:val="both"/>
        <w:rPr>
          <w:b/>
          <w:bCs/>
          <w:sz w:val="28"/>
          <w:szCs w:val="28"/>
          <w:lang w:val="uk-UA"/>
        </w:rPr>
      </w:pPr>
      <w:r w:rsidRPr="00751BE3">
        <w:rPr>
          <w:b/>
          <w:bCs/>
          <w:sz w:val="28"/>
          <w:szCs w:val="28"/>
          <w:lang w:val="uk-UA"/>
        </w:rPr>
        <w:t>Реабілітаційні заходи можуть надаватися як у стаціонарі, так і амбулаторно.</w:t>
      </w:r>
    </w:p>
    <w:p w:rsidR="009A4DF8" w:rsidRPr="007C4BE2" w:rsidRDefault="009A4DF8" w:rsidP="00096CF2">
      <w:pPr>
        <w:pStyle w:val="rtejustify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7C4BE2">
        <w:rPr>
          <w:sz w:val="28"/>
          <w:szCs w:val="28"/>
          <w:lang w:val="uk-UA"/>
        </w:rPr>
        <w:t>Вартість витрат реабілітаційної установи за здійснені для дитини реабілітаційні заходи становить не менше 30 відсотків граничної вартості реабілітаційних заходів для однієї дитини.</w:t>
      </w:r>
    </w:p>
    <w:p w:rsidR="009A4DF8" w:rsidRPr="007C4BE2" w:rsidRDefault="009A4DF8" w:rsidP="00096CF2">
      <w:pPr>
        <w:pStyle w:val="rtejustify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7C4BE2">
        <w:rPr>
          <w:sz w:val="28"/>
          <w:szCs w:val="28"/>
          <w:lang w:val="uk-UA"/>
        </w:rPr>
        <w:t>Під час здійснення реабілітаційних заходів у стаціонарі їх гранична вартість може включати вартість проживання та харчування дитини, одного з батьків дитини чи її законного представника. Під час здійснення реабілітаційних заходів амбулаторно у граничну вартість можуть включатися витрати на харчування дитини, одного з батьків дитини чи її законного представника.</w:t>
      </w:r>
    </w:p>
    <w:p w:rsidR="009A4DF8" w:rsidRPr="00751BE3" w:rsidRDefault="009A4DF8" w:rsidP="00096CF2">
      <w:pPr>
        <w:pStyle w:val="rtejustify"/>
        <w:spacing w:before="0" w:beforeAutospacing="0" w:after="0" w:afterAutospacing="0"/>
        <w:ind w:firstLine="540"/>
        <w:jc w:val="both"/>
        <w:rPr>
          <w:b/>
          <w:bCs/>
          <w:sz w:val="28"/>
          <w:szCs w:val="28"/>
          <w:lang w:val="uk-UA"/>
        </w:rPr>
      </w:pPr>
      <w:r w:rsidRPr="00751BE3">
        <w:rPr>
          <w:b/>
          <w:bCs/>
          <w:sz w:val="28"/>
          <w:szCs w:val="28"/>
          <w:lang w:val="uk-UA"/>
        </w:rPr>
        <w:t>Реабілітаційні заходи в межах їх граничної вартості можуть бути надані одній дитині декілька разів протягом бюджетного року.</w:t>
      </w:r>
    </w:p>
    <w:p w:rsidR="009A4DF8" w:rsidRPr="007C4BE2" w:rsidRDefault="009A4DF8" w:rsidP="00096CF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7C4BE2">
        <w:rPr>
          <w:sz w:val="28"/>
          <w:szCs w:val="28"/>
          <w:lang w:val="uk-UA"/>
        </w:rPr>
        <w:t xml:space="preserve">Для забезпечення дитини реабілітаційними заходами один із батьків дитини чи її законний представник подає до </w:t>
      </w:r>
      <w:r>
        <w:rPr>
          <w:sz w:val="28"/>
          <w:szCs w:val="28"/>
          <w:lang w:val="uk-UA"/>
        </w:rPr>
        <w:t>управління праці та соціального</w:t>
      </w:r>
      <w:r w:rsidRPr="007C4BE2">
        <w:rPr>
          <w:sz w:val="28"/>
          <w:szCs w:val="28"/>
          <w:lang w:val="uk-UA"/>
        </w:rPr>
        <w:t xml:space="preserve"> захисту </w:t>
      </w:r>
      <w:r>
        <w:rPr>
          <w:sz w:val="28"/>
          <w:szCs w:val="28"/>
          <w:lang w:val="uk-UA"/>
        </w:rPr>
        <w:t xml:space="preserve">населення Хмільницької міської ради </w:t>
      </w:r>
      <w:r w:rsidRPr="007C4BE2">
        <w:rPr>
          <w:sz w:val="28"/>
          <w:szCs w:val="28"/>
          <w:lang w:val="uk-UA"/>
        </w:rPr>
        <w:t>заяву про направлення дитини до реабілітаційної установи у довільній формі (далі - заява) із зазначенням інформації про вибрану реабілітаційну установу разом з копіями</w:t>
      </w:r>
      <w:r>
        <w:rPr>
          <w:sz w:val="28"/>
          <w:szCs w:val="28"/>
          <w:lang w:val="uk-UA"/>
        </w:rPr>
        <w:t xml:space="preserve">  (з пред’явленням оригіналів документів)</w:t>
      </w:r>
      <w:r w:rsidRPr="007C4BE2">
        <w:rPr>
          <w:sz w:val="28"/>
          <w:szCs w:val="28"/>
          <w:lang w:val="uk-UA"/>
        </w:rPr>
        <w:t>:</w:t>
      </w:r>
    </w:p>
    <w:p w:rsidR="009A4DF8" w:rsidRPr="007C4BE2" w:rsidRDefault="009A4DF8" w:rsidP="00096CF2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  <w:lang w:val="uk-UA"/>
        </w:rPr>
      </w:pPr>
      <w:bookmarkStart w:id="0" w:name="n22"/>
      <w:bookmarkEnd w:id="0"/>
      <w:r w:rsidRPr="007C4BE2">
        <w:rPr>
          <w:sz w:val="28"/>
          <w:szCs w:val="28"/>
          <w:lang w:val="uk-UA"/>
        </w:rPr>
        <w:t>паспорта громадянина України та/або свідоцтва про народження, та/або іншого документа, що посвідчує особу дитини;</w:t>
      </w:r>
    </w:p>
    <w:p w:rsidR="009A4DF8" w:rsidRPr="007C4BE2" w:rsidRDefault="009A4DF8" w:rsidP="00096CF2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  <w:lang w:val="uk-UA"/>
        </w:rPr>
      </w:pPr>
      <w:bookmarkStart w:id="1" w:name="n23"/>
      <w:bookmarkEnd w:id="1"/>
      <w:r w:rsidRPr="007C4BE2">
        <w:rPr>
          <w:sz w:val="28"/>
          <w:szCs w:val="28"/>
          <w:lang w:val="uk-UA"/>
        </w:rPr>
        <w:t>індивідуальної програми реабілітації, що видана лікарсько-консультативною комісією лікувально-профілактичного закладу;</w:t>
      </w:r>
    </w:p>
    <w:p w:rsidR="009A4DF8" w:rsidRDefault="009A4DF8" w:rsidP="00096CF2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  <w:lang w:val="uk-UA"/>
        </w:rPr>
      </w:pPr>
      <w:bookmarkStart w:id="2" w:name="n24"/>
      <w:bookmarkEnd w:id="2"/>
      <w:r w:rsidRPr="007C4BE2">
        <w:rPr>
          <w:sz w:val="28"/>
          <w:szCs w:val="28"/>
          <w:lang w:val="uk-UA"/>
        </w:rPr>
        <w:t>виписки з медичної карти амбулаторного (стаціонарного) хворого (</w:t>
      </w:r>
      <w:hyperlink r:id="rId5" w:anchor="n3" w:tgtFrame="_blank" w:history="1">
        <w:r w:rsidRPr="007C4BE2">
          <w:rPr>
            <w:rStyle w:val="a5"/>
            <w:sz w:val="28"/>
            <w:szCs w:val="28"/>
            <w:lang w:val="uk-UA"/>
          </w:rPr>
          <w:t>форма № 027/о</w:t>
        </w:r>
      </w:hyperlink>
      <w:r w:rsidRPr="007C4BE2">
        <w:rPr>
          <w:sz w:val="28"/>
          <w:szCs w:val="28"/>
          <w:lang w:val="uk-UA"/>
        </w:rPr>
        <w:t>).</w:t>
      </w:r>
    </w:p>
    <w:p w:rsidR="009A4DF8" w:rsidRPr="00C35282" w:rsidRDefault="009A4DF8" w:rsidP="00096CF2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праці та соціального</w:t>
      </w:r>
      <w:r w:rsidRPr="007C4BE2">
        <w:rPr>
          <w:sz w:val="28"/>
          <w:szCs w:val="28"/>
          <w:lang w:val="uk-UA"/>
        </w:rPr>
        <w:t xml:space="preserve"> захисту </w:t>
      </w:r>
      <w:r>
        <w:rPr>
          <w:sz w:val="28"/>
          <w:szCs w:val="28"/>
          <w:lang w:val="uk-UA"/>
        </w:rPr>
        <w:t>населення Хмільницької міської ради</w:t>
      </w:r>
      <w:r w:rsidRPr="00C35282">
        <w:rPr>
          <w:sz w:val="28"/>
          <w:szCs w:val="28"/>
          <w:lang w:val="uk-UA"/>
        </w:rPr>
        <w:t>:</w:t>
      </w:r>
    </w:p>
    <w:p w:rsidR="009A4DF8" w:rsidRPr="00C35282" w:rsidRDefault="009A4DF8" w:rsidP="00096CF2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3" w:name="n26"/>
      <w:bookmarkEnd w:id="3"/>
      <w:r w:rsidRPr="00C35282">
        <w:rPr>
          <w:sz w:val="28"/>
          <w:szCs w:val="28"/>
          <w:lang w:val="uk-UA"/>
        </w:rPr>
        <w:t xml:space="preserve">1) перевіряє наявність </w:t>
      </w:r>
      <w:r>
        <w:rPr>
          <w:sz w:val="28"/>
          <w:szCs w:val="28"/>
          <w:lang w:val="uk-UA"/>
        </w:rPr>
        <w:t>оригіналів поданих</w:t>
      </w:r>
      <w:r w:rsidRPr="00C35282">
        <w:rPr>
          <w:sz w:val="28"/>
          <w:szCs w:val="28"/>
          <w:lang w:val="uk-UA"/>
        </w:rPr>
        <w:t xml:space="preserve"> документів</w:t>
      </w:r>
      <w:r>
        <w:rPr>
          <w:sz w:val="28"/>
          <w:szCs w:val="28"/>
          <w:lang w:val="uk-UA"/>
        </w:rPr>
        <w:t>;</w:t>
      </w:r>
    </w:p>
    <w:p w:rsidR="009A4DF8" w:rsidRPr="00C35282" w:rsidRDefault="009A4DF8" w:rsidP="00096CF2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4" w:name="n27"/>
      <w:bookmarkEnd w:id="4"/>
      <w:r w:rsidRPr="00C35282">
        <w:rPr>
          <w:sz w:val="28"/>
          <w:szCs w:val="28"/>
          <w:lang w:val="uk-UA"/>
        </w:rPr>
        <w:t>2) забезпечує ведення обліку дітей, які в порядку черговості направляються на здійснення реабілітаційних заходів;</w:t>
      </w:r>
    </w:p>
    <w:p w:rsidR="009A4DF8" w:rsidRPr="00C35282" w:rsidRDefault="009A4DF8" w:rsidP="00096CF2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5" w:name="n28"/>
      <w:bookmarkEnd w:id="5"/>
      <w:r w:rsidRPr="00C35282">
        <w:rPr>
          <w:sz w:val="28"/>
          <w:szCs w:val="28"/>
          <w:lang w:val="uk-UA"/>
        </w:rPr>
        <w:t>3) ознайомлює одного з батьків дитини чи її законного представника з переліком реабілітаційних установ, до яких такі особи можуть звернутися з питань забезпечення дитини реабілітаційними заходами;</w:t>
      </w:r>
    </w:p>
    <w:p w:rsidR="009A4DF8" w:rsidRPr="00C35282" w:rsidRDefault="009A4DF8" w:rsidP="00096CF2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6" w:name="n29"/>
      <w:bookmarkEnd w:id="6"/>
      <w:r w:rsidRPr="00C35282">
        <w:rPr>
          <w:sz w:val="28"/>
          <w:szCs w:val="28"/>
          <w:lang w:val="uk-UA"/>
        </w:rPr>
        <w:t>4) вносить до централізованого банку даних з проблем інвалідності  відомості про:</w:t>
      </w:r>
    </w:p>
    <w:p w:rsidR="009A4DF8" w:rsidRPr="00C35282" w:rsidRDefault="009A4DF8" w:rsidP="00096CF2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808"/>
        <w:jc w:val="both"/>
        <w:rPr>
          <w:sz w:val="28"/>
          <w:szCs w:val="28"/>
          <w:lang w:val="uk-UA"/>
        </w:rPr>
      </w:pPr>
      <w:bookmarkStart w:id="7" w:name="n30"/>
      <w:bookmarkEnd w:id="7"/>
      <w:r w:rsidRPr="00C35282">
        <w:rPr>
          <w:sz w:val="28"/>
          <w:szCs w:val="28"/>
          <w:lang w:val="uk-UA"/>
        </w:rPr>
        <w:t>дитину, її законного представника відповідно до </w:t>
      </w:r>
      <w:hyperlink r:id="rId6" w:anchor="n158" w:tgtFrame="_blank" w:history="1">
        <w:r w:rsidRPr="00C35282">
          <w:rPr>
            <w:rStyle w:val="a5"/>
            <w:sz w:val="28"/>
            <w:szCs w:val="28"/>
            <w:lang w:val="uk-UA"/>
          </w:rPr>
          <w:t>пункту 4</w:t>
        </w:r>
      </w:hyperlink>
      <w:r w:rsidRPr="00C35282">
        <w:rPr>
          <w:sz w:val="28"/>
          <w:szCs w:val="28"/>
          <w:lang w:val="uk-UA"/>
        </w:rPr>
        <w:t> Положення про централізований банк даних з проблем інвалідності, затвердженого постановою Кабінету Міністрів України від 16 лютого 2011 р. № 121 (Офіційний вісник України, 2011 р., № 12, ст. 523; 2019 р., № 17, ст. 569);</w:t>
      </w:r>
    </w:p>
    <w:p w:rsidR="009A4DF8" w:rsidRPr="00C35282" w:rsidRDefault="009A4DF8" w:rsidP="00096CF2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808"/>
        <w:jc w:val="both"/>
        <w:rPr>
          <w:sz w:val="28"/>
          <w:szCs w:val="28"/>
          <w:lang w:val="uk-UA"/>
        </w:rPr>
      </w:pPr>
      <w:bookmarkStart w:id="8" w:name="n31"/>
      <w:bookmarkEnd w:id="8"/>
      <w:r w:rsidRPr="00C35282">
        <w:rPr>
          <w:sz w:val="28"/>
          <w:szCs w:val="28"/>
          <w:lang w:val="uk-UA"/>
        </w:rPr>
        <w:t>забезпечення дитини реабілітаційними заходами, у тому числі про вибір законним представником дитини реабілітаційної установи, укладення договорів, складення актів виконаних робіт із зазначенням фактично перерахованих коштів, строків перебування дитини в реабілітаційній установі.</w:t>
      </w:r>
    </w:p>
    <w:p w:rsidR="009A4DF8" w:rsidRDefault="009A4DF8" w:rsidP="00096CF2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rStyle w:val="a4"/>
          <w:sz w:val="28"/>
          <w:szCs w:val="28"/>
          <w:lang w:val="uk-UA"/>
        </w:rPr>
      </w:pPr>
      <w:bookmarkStart w:id="9" w:name="n32"/>
      <w:bookmarkEnd w:id="9"/>
      <w:r w:rsidRPr="00C35282">
        <w:rPr>
          <w:sz w:val="28"/>
          <w:szCs w:val="28"/>
          <w:lang w:val="uk-UA"/>
        </w:rPr>
        <w:t xml:space="preserve">Днем звернення одного з батьків дитини чи її законного представника до місцевого органу вважається дата надходження документів, що реєструються в </w:t>
      </w:r>
      <w:r w:rsidRPr="00C35282">
        <w:rPr>
          <w:color w:val="000000"/>
          <w:sz w:val="28"/>
          <w:szCs w:val="28"/>
          <w:lang w:val="uk-UA"/>
        </w:rPr>
        <w:t>журналі реєстрації документів.</w:t>
      </w:r>
    </w:p>
    <w:p w:rsidR="009A4DF8" w:rsidRPr="0019347E" w:rsidRDefault="009A4DF8" w:rsidP="00096CF2">
      <w:pPr>
        <w:pStyle w:val="rteright"/>
        <w:spacing w:before="0" w:beforeAutospacing="0" w:after="0" w:afterAutospacing="0"/>
        <w:ind w:firstLine="540"/>
        <w:rPr>
          <w:i/>
          <w:iCs/>
          <w:sz w:val="16"/>
          <w:szCs w:val="16"/>
        </w:rPr>
      </w:pPr>
      <w:r w:rsidRPr="00514D30">
        <w:rPr>
          <w:rStyle w:val="a4"/>
          <w:sz w:val="28"/>
          <w:szCs w:val="28"/>
          <w:lang w:val="uk-UA"/>
        </w:rPr>
        <w:t>Детальна інформація – </w:t>
      </w:r>
      <w:hyperlink r:id="rId7" w:history="1">
        <w:r w:rsidRPr="006B5C5C">
          <w:rPr>
            <w:rStyle w:val="a5"/>
            <w:i/>
            <w:iCs/>
            <w:color w:val="234161"/>
            <w:sz w:val="28"/>
            <w:szCs w:val="28"/>
            <w:lang w:val="uk-UA"/>
          </w:rPr>
          <w:t>на офіційному сайті Міністерства</w:t>
        </w:r>
      </w:hyperlink>
      <w:hyperlink r:id="rId8" w:history="1">
        <w:r w:rsidRPr="006B5C5C">
          <w:rPr>
            <w:rStyle w:val="a4"/>
            <w:color w:val="234161"/>
            <w:sz w:val="28"/>
            <w:szCs w:val="28"/>
            <w:u w:val="single"/>
            <w:lang w:val="uk-UA"/>
          </w:rPr>
          <w:t>соціальної політики у розділі «Інвалідність» – «Реабілітація дітей з</w:t>
        </w:r>
      </w:hyperlink>
      <w:hyperlink r:id="rId9" w:history="1">
        <w:r w:rsidRPr="006B5C5C">
          <w:rPr>
            <w:rStyle w:val="a4"/>
            <w:color w:val="234161"/>
            <w:sz w:val="28"/>
            <w:szCs w:val="28"/>
            <w:u w:val="single"/>
            <w:lang w:val="uk-UA"/>
          </w:rPr>
          <w:t>інвалідністю»</w:t>
        </w:r>
      </w:hyperlink>
      <w:r>
        <w:rPr>
          <w:sz w:val="28"/>
          <w:szCs w:val="28"/>
          <w:lang w:val="uk-UA"/>
        </w:rPr>
        <w:t>.</w:t>
      </w:r>
    </w:p>
    <w:p w:rsidR="009A4DF8" w:rsidRDefault="009A4DF8"/>
    <w:sectPr w:rsidR="009A4DF8" w:rsidSect="00A4488E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30D4B"/>
    <w:multiLevelType w:val="hybridMultilevel"/>
    <w:tmpl w:val="344CBD0A"/>
    <w:lvl w:ilvl="0" w:tplc="04190001">
      <w:start w:val="1"/>
      <w:numFmt w:val="bullet"/>
      <w:lvlText w:val=""/>
      <w:lvlJc w:val="left"/>
      <w:pPr>
        <w:ind w:left="11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33A2949"/>
    <w:multiLevelType w:val="hybridMultilevel"/>
    <w:tmpl w:val="17A09D5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E0639AC"/>
    <w:multiLevelType w:val="multilevel"/>
    <w:tmpl w:val="5AD2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CF2"/>
    <w:rsid w:val="00096CF2"/>
    <w:rsid w:val="0019347E"/>
    <w:rsid w:val="00253B05"/>
    <w:rsid w:val="00514D30"/>
    <w:rsid w:val="005A7AEB"/>
    <w:rsid w:val="00602DBF"/>
    <w:rsid w:val="006A62C6"/>
    <w:rsid w:val="006B5C5C"/>
    <w:rsid w:val="006C4D5B"/>
    <w:rsid w:val="006D2A5E"/>
    <w:rsid w:val="00751BE3"/>
    <w:rsid w:val="007C4BE2"/>
    <w:rsid w:val="007D2870"/>
    <w:rsid w:val="008C44A5"/>
    <w:rsid w:val="009A4DF8"/>
    <w:rsid w:val="00A32B50"/>
    <w:rsid w:val="00A43F5E"/>
    <w:rsid w:val="00A4488E"/>
    <w:rsid w:val="00A82998"/>
    <w:rsid w:val="00AF63B6"/>
    <w:rsid w:val="00B34F59"/>
    <w:rsid w:val="00C35282"/>
    <w:rsid w:val="00C42D16"/>
    <w:rsid w:val="00EA6ADA"/>
    <w:rsid w:val="00FC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2E317444-7698-46FD-A5E2-95BA3816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CF2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096CF2"/>
    <w:pPr>
      <w:keepNext/>
      <w:autoSpaceDE/>
      <w:autoSpaceDN/>
      <w:jc w:val="both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6CF2"/>
    <w:rPr>
      <w:rFonts w:ascii="Times New Roman" w:hAnsi="Times New Roman" w:cs="Times New Roman"/>
      <w:sz w:val="20"/>
      <w:szCs w:val="20"/>
      <w:lang w:val="uk-UA" w:eastAsia="ru-RU"/>
    </w:rPr>
  </w:style>
  <w:style w:type="paragraph" w:styleId="a3">
    <w:name w:val="Normal (Web)"/>
    <w:basedOn w:val="a"/>
    <w:uiPriority w:val="99"/>
    <w:rsid w:val="00096CF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99"/>
    <w:qFormat/>
    <w:rsid w:val="00096CF2"/>
    <w:rPr>
      <w:i/>
      <w:iCs/>
    </w:rPr>
  </w:style>
  <w:style w:type="character" w:customStyle="1" w:styleId="apple-converted-space">
    <w:name w:val="apple-converted-space"/>
    <w:basedOn w:val="a0"/>
    <w:uiPriority w:val="99"/>
    <w:rsid w:val="00096CF2"/>
  </w:style>
  <w:style w:type="character" w:styleId="a5">
    <w:name w:val="Hyperlink"/>
    <w:basedOn w:val="a0"/>
    <w:uiPriority w:val="99"/>
    <w:rsid w:val="00096CF2"/>
    <w:rPr>
      <w:color w:val="0000FF"/>
      <w:u w:val="single"/>
    </w:rPr>
  </w:style>
  <w:style w:type="paragraph" w:customStyle="1" w:styleId="rtejustify">
    <w:name w:val="rtejustify"/>
    <w:basedOn w:val="a"/>
    <w:uiPriority w:val="99"/>
    <w:rsid w:val="00096CF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teright">
    <w:name w:val="rteright"/>
    <w:basedOn w:val="a"/>
    <w:uiPriority w:val="99"/>
    <w:rsid w:val="00096CF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vps2">
    <w:name w:val="rvps2"/>
    <w:basedOn w:val="a"/>
    <w:uiPriority w:val="99"/>
    <w:rsid w:val="00096CF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uiPriority w:val="99"/>
    <w:rsid w:val="006D2A5E"/>
    <w:pPr>
      <w:autoSpaceDE/>
      <w:autoSpaceDN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99"/>
    <w:locked/>
    <w:rsid w:val="006D2A5E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a8">
    <w:name w:val="Основной текст + Не полужирный"/>
    <w:uiPriority w:val="99"/>
    <w:rsid w:val="006D2A5E"/>
    <w:rPr>
      <w:rFonts w:ascii="Times New Roman" w:hAnsi="Times New Roman" w:cs="Times New Roman"/>
      <w:b/>
      <w:bCs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p.gov.ua/content/reabilitaciya-ditey-z-invalidnistyu-vnaslidok-dityachogo-cerebralnogo-paralichu.html?fbclid=IwAR1oYtXH8FJKBkxUKPjrVS39M-Q9I8zqYrtnfmJHqyPosCfUPYYves3vTk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sp.gov.ua/content/reabilitaciya-ditey-z-invalidnistyu-vnaslidok-dityachogo-cerebralnogo-paralichu.html?fbclid=IwAR1oYtXH8FJKBkxUKPjrVS39M-Q9I8zqYrtnfmJHqyPosCfUPYYves3vTk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21-2011-%D0%B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z0682-1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sp.gov.ua/content/reabilitaciya-ditey-z-invalidnistyu-vnaslidok-dityachogo-cerebralnogo-paralichu.html?fbclid=IwAR1oYtXH8FJKBkxUKPjrVS39M-Q9I8zqYrtnfmJHqyPosCfUPYYves3vTk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4361</Words>
  <Characters>2486</Characters>
  <Application>Microsoft Office Word</Application>
  <DocSecurity>0</DocSecurity>
  <Lines>20</Lines>
  <Paragraphs>13</Paragraphs>
  <ScaleCrop>false</ScaleCrop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Inf1</cp:lastModifiedBy>
  <cp:revision>9</cp:revision>
  <cp:lastPrinted>2020-12-30T07:12:00Z</cp:lastPrinted>
  <dcterms:created xsi:type="dcterms:W3CDTF">2020-02-06T08:57:00Z</dcterms:created>
  <dcterms:modified xsi:type="dcterms:W3CDTF">2021-01-04T07:04:00Z</dcterms:modified>
</cp:coreProperties>
</file>