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94" w:rsidRPr="000A6736" w:rsidRDefault="00295194" w:rsidP="00295194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194" w:rsidRPr="00883682" w:rsidRDefault="00295194" w:rsidP="0029519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295194" w:rsidRPr="00883682" w:rsidRDefault="00295194" w:rsidP="0029519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295194" w:rsidRPr="00883682" w:rsidRDefault="00295194" w:rsidP="00295194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295194" w:rsidRPr="00883682" w:rsidRDefault="00295194" w:rsidP="002951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295194" w:rsidRDefault="00295194" w:rsidP="002951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</w:t>
      </w:r>
    </w:p>
    <w:p w:rsidR="00295194" w:rsidRPr="00883682" w:rsidRDefault="00295194" w:rsidP="002951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295194" w:rsidRPr="002A11DA" w:rsidRDefault="00295194" w:rsidP="00295194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«__» __________   2021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</w:p>
    <w:p w:rsidR="00295194" w:rsidRDefault="00295194" w:rsidP="00295194">
      <w:pPr>
        <w:rPr>
          <w:i/>
          <w:sz w:val="28"/>
          <w:szCs w:val="28"/>
          <w:lang w:val="uk-UA"/>
        </w:rPr>
      </w:pPr>
    </w:p>
    <w:p w:rsidR="00295194" w:rsidRDefault="00295194" w:rsidP="00295194">
      <w:pPr>
        <w:rPr>
          <w:i/>
          <w:sz w:val="28"/>
          <w:szCs w:val="28"/>
          <w:lang w:val="uk-UA"/>
        </w:rPr>
      </w:pPr>
    </w:p>
    <w:p w:rsidR="00295194" w:rsidRDefault="00295194" w:rsidP="00295194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 до рішення</w:t>
      </w:r>
    </w:p>
    <w:p w:rsidR="00295194" w:rsidRDefault="00295194" w:rsidP="0029519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виконавчого комітету Хмільницької міської ради</w:t>
      </w:r>
    </w:p>
    <w:p w:rsidR="00295194" w:rsidRDefault="00295194" w:rsidP="0029519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21.01.2021 р. №73</w:t>
      </w:r>
    </w:p>
    <w:p w:rsidR="00295194" w:rsidRDefault="00295194" w:rsidP="0029519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встановлення лімітів споживання</w:t>
      </w:r>
    </w:p>
    <w:p w:rsidR="00295194" w:rsidRDefault="00295194" w:rsidP="0029519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енергоносіїв та водопостачання </w:t>
      </w:r>
    </w:p>
    <w:p w:rsidR="00295194" w:rsidRDefault="00295194" w:rsidP="0029519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бюджетним установам Хмільницької </w:t>
      </w:r>
    </w:p>
    <w:p w:rsidR="00295194" w:rsidRDefault="00295194" w:rsidP="0029519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міської територіальної </w:t>
      </w:r>
    </w:p>
    <w:p w:rsidR="00295194" w:rsidRDefault="00295194" w:rsidP="00295194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громади  на 2021 рік»</w:t>
      </w:r>
    </w:p>
    <w:p w:rsidR="00295194" w:rsidRPr="00FE588E" w:rsidRDefault="00295194" w:rsidP="00295194">
      <w:pPr>
        <w:rPr>
          <w:i/>
          <w:sz w:val="28"/>
          <w:szCs w:val="28"/>
          <w:lang w:val="uk-UA"/>
        </w:rPr>
      </w:pPr>
    </w:p>
    <w:p w:rsidR="00295194" w:rsidRDefault="00295194" w:rsidP="00295194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службову записку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загального відділу міської ради від 15.03.2021 року,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2021 рік у зв’язку зі збільшенням об’</w:t>
      </w:r>
      <w:r w:rsidRPr="000F0E78">
        <w:rPr>
          <w:sz w:val="28"/>
          <w:szCs w:val="28"/>
          <w:lang w:val="uk-UA"/>
        </w:rPr>
        <w:t xml:space="preserve">ємів споживання природного газу для утримання </w:t>
      </w:r>
      <w:r>
        <w:rPr>
          <w:sz w:val="28"/>
          <w:szCs w:val="28"/>
          <w:lang w:val="uk-UA"/>
        </w:rPr>
        <w:t xml:space="preserve">адміністративних </w:t>
      </w:r>
      <w:r w:rsidRPr="000F0E78">
        <w:rPr>
          <w:sz w:val="28"/>
          <w:szCs w:val="28"/>
          <w:lang w:val="uk-UA"/>
        </w:rPr>
        <w:t>приміщень</w:t>
      </w:r>
      <w:r>
        <w:rPr>
          <w:sz w:val="28"/>
          <w:szCs w:val="28"/>
          <w:lang w:val="uk-UA"/>
        </w:rPr>
        <w:t xml:space="preserve"> у приєднаних населених пункт</w:t>
      </w:r>
      <w:r w:rsidR="00E732E9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>, а також збільшення навантаження на систему електропостачання через проведення ремонтних робіт у адміністративній будівлі с. Соколова та додаткового опалення електроенергією адміністративної будівлі с. Сьомаки</w:t>
      </w:r>
      <w:r w:rsidR="00086D3D">
        <w:rPr>
          <w:sz w:val="28"/>
          <w:szCs w:val="28"/>
          <w:lang w:val="uk-UA"/>
        </w:rPr>
        <w:t xml:space="preserve"> та </w:t>
      </w:r>
      <w:r w:rsidR="00086D3D" w:rsidRPr="00EC5DA8">
        <w:rPr>
          <w:sz w:val="28"/>
          <w:szCs w:val="28"/>
          <w:lang w:val="uk-UA"/>
        </w:rPr>
        <w:t xml:space="preserve">службову записку </w:t>
      </w:r>
      <w:proofErr w:type="spellStart"/>
      <w:r w:rsidR="00086D3D">
        <w:rPr>
          <w:sz w:val="28"/>
          <w:szCs w:val="28"/>
          <w:lang w:val="uk-UA"/>
        </w:rPr>
        <w:t>в.о</w:t>
      </w:r>
      <w:proofErr w:type="spellEnd"/>
      <w:r w:rsidR="00086D3D">
        <w:rPr>
          <w:sz w:val="28"/>
          <w:szCs w:val="28"/>
          <w:lang w:val="uk-UA"/>
        </w:rPr>
        <w:t xml:space="preserve">. </w:t>
      </w:r>
      <w:r w:rsidR="00086D3D" w:rsidRPr="00EC5DA8">
        <w:rPr>
          <w:sz w:val="28"/>
          <w:szCs w:val="28"/>
          <w:lang w:val="uk-UA"/>
        </w:rPr>
        <w:t xml:space="preserve">начальника </w:t>
      </w:r>
      <w:r w:rsidR="00086D3D">
        <w:rPr>
          <w:sz w:val="28"/>
          <w:szCs w:val="28"/>
          <w:lang w:val="uk-UA"/>
        </w:rPr>
        <w:t>управління житлово-комунального господарства та комунальної власності Хмільницької міської ради від 30.03.2021 року №01-11/272</w:t>
      </w:r>
      <w:r w:rsidR="00086D3D" w:rsidRPr="00EC5DA8">
        <w:rPr>
          <w:sz w:val="28"/>
          <w:szCs w:val="28"/>
          <w:lang w:val="uk-UA"/>
        </w:rPr>
        <w:t xml:space="preserve">, щодо </w:t>
      </w:r>
      <w:r w:rsidR="00086D3D">
        <w:rPr>
          <w:sz w:val="28"/>
          <w:szCs w:val="28"/>
          <w:lang w:val="uk-UA"/>
        </w:rPr>
        <w:t xml:space="preserve">затвердження </w:t>
      </w:r>
      <w:r w:rsidR="00086D3D" w:rsidRPr="00EC5DA8">
        <w:rPr>
          <w:sz w:val="28"/>
          <w:szCs w:val="28"/>
          <w:lang w:val="uk-UA"/>
        </w:rPr>
        <w:t>лімітів споживання енергоносіїв та водопостачання на 2021 рік</w:t>
      </w:r>
      <w:r w:rsidR="00086D3D">
        <w:rPr>
          <w:sz w:val="28"/>
          <w:szCs w:val="28"/>
          <w:lang w:val="uk-UA"/>
        </w:rPr>
        <w:t xml:space="preserve"> управлінню житлово-комунального господарства та комунальної власності Хмільницької міської ради</w:t>
      </w:r>
      <w:r w:rsidR="00033225">
        <w:rPr>
          <w:sz w:val="28"/>
          <w:szCs w:val="28"/>
          <w:lang w:val="uk-UA"/>
        </w:rPr>
        <w:t>,</w:t>
      </w:r>
      <w:r w:rsidR="00086D3D">
        <w:rPr>
          <w:sz w:val="28"/>
          <w:szCs w:val="28"/>
          <w:lang w:val="uk-UA"/>
        </w:rPr>
        <w:t xml:space="preserve"> у зв</w:t>
      </w:r>
      <w:r w:rsidR="00086D3D" w:rsidRPr="00086D3D">
        <w:rPr>
          <w:sz w:val="28"/>
          <w:szCs w:val="28"/>
          <w:lang w:val="uk-UA"/>
        </w:rPr>
        <w:t>’</w:t>
      </w:r>
      <w:r w:rsidR="00086D3D">
        <w:rPr>
          <w:sz w:val="28"/>
          <w:szCs w:val="28"/>
          <w:lang w:val="uk-UA"/>
        </w:rPr>
        <w:t>язку з затверджен</w:t>
      </w:r>
      <w:r w:rsidR="00A928BB">
        <w:rPr>
          <w:sz w:val="28"/>
          <w:szCs w:val="28"/>
          <w:lang w:val="uk-UA"/>
        </w:rPr>
        <w:t>ням</w:t>
      </w:r>
      <w:r w:rsidR="00086D3D">
        <w:rPr>
          <w:sz w:val="28"/>
          <w:szCs w:val="28"/>
          <w:lang w:val="uk-UA"/>
        </w:rPr>
        <w:t xml:space="preserve"> рішення 7 сесії</w:t>
      </w:r>
      <w:r w:rsidR="00086D3D" w:rsidRPr="00086D3D">
        <w:rPr>
          <w:sz w:val="28"/>
          <w:szCs w:val="28"/>
          <w:lang w:val="uk-UA"/>
        </w:rPr>
        <w:t xml:space="preserve"> Хмільницької міської ради</w:t>
      </w:r>
      <w:r w:rsidR="00086D3D">
        <w:rPr>
          <w:sz w:val="28"/>
          <w:szCs w:val="28"/>
          <w:lang w:val="uk-UA"/>
        </w:rPr>
        <w:t xml:space="preserve"> 8 скликання від 24.02.2021 року №252 «Про внесення змін та доповнень до рішення 1 сесії 8 скликання Хмільницької міської ради від 08.12.2020 року №6 «Про затвердження загальної структури виконавчих органів Хмільницької міської ради та штатного розпису працівників виконавчих органів</w:t>
      </w:r>
      <w:r w:rsidR="00086D3D" w:rsidRPr="00086D3D">
        <w:rPr>
          <w:sz w:val="28"/>
          <w:szCs w:val="28"/>
          <w:lang w:val="uk-UA"/>
        </w:rPr>
        <w:t xml:space="preserve"> </w:t>
      </w:r>
      <w:r w:rsidR="00086D3D">
        <w:rPr>
          <w:sz w:val="28"/>
          <w:szCs w:val="28"/>
          <w:lang w:val="uk-UA"/>
        </w:rPr>
        <w:t>Хмільницької міської ради (у новій редакції)» (зі змінами)</w:t>
      </w:r>
      <w:r>
        <w:rPr>
          <w:sz w:val="28"/>
          <w:szCs w:val="28"/>
          <w:lang w:val="uk-UA"/>
        </w:rPr>
        <w:t xml:space="preserve">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proofErr w:type="spellStart"/>
      <w:r w:rsidRPr="002A11DA">
        <w:rPr>
          <w:sz w:val="28"/>
          <w:szCs w:val="28"/>
          <w:lang w:val="uk-UA"/>
        </w:rPr>
        <w:t>“Про</w:t>
      </w:r>
      <w:proofErr w:type="spellEnd"/>
      <w:r w:rsidRPr="002A11DA">
        <w:rPr>
          <w:sz w:val="28"/>
          <w:szCs w:val="28"/>
          <w:lang w:val="uk-UA"/>
        </w:rPr>
        <w:t xml:space="preserve"> місцеве  самоврядування в </w:t>
      </w:r>
      <w:proofErr w:type="spellStart"/>
      <w:r w:rsidRPr="002A11DA"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295194" w:rsidRDefault="00295194" w:rsidP="00295194">
      <w:pPr>
        <w:ind w:firstLine="567"/>
        <w:jc w:val="both"/>
        <w:rPr>
          <w:sz w:val="28"/>
          <w:szCs w:val="28"/>
          <w:lang w:val="uk-UA"/>
        </w:rPr>
      </w:pPr>
    </w:p>
    <w:p w:rsidR="00295194" w:rsidRDefault="00295194" w:rsidP="00295194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295194" w:rsidRPr="002A11DA" w:rsidRDefault="00295194" w:rsidP="00295194">
      <w:pPr>
        <w:ind w:firstLine="567"/>
        <w:jc w:val="center"/>
        <w:rPr>
          <w:sz w:val="28"/>
          <w:szCs w:val="28"/>
          <w:lang w:val="uk-UA"/>
        </w:rPr>
      </w:pPr>
    </w:p>
    <w:p w:rsidR="00086D3D" w:rsidRDefault="00295194" w:rsidP="0029519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рішення виконавчого комітету Хмільницької міської ради </w:t>
      </w:r>
      <w:r w:rsidRPr="00EB4F9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21.01.2021 року №73 "Про встановлення лімітів споживання енергоносіїв та водопостачання бюджетним установам Хмільницької міської</w:t>
      </w:r>
      <w:r w:rsidRPr="00B35A22">
        <w:rPr>
          <w:sz w:val="28"/>
          <w:szCs w:val="28"/>
          <w:lang w:val="uk-UA"/>
        </w:rPr>
        <w:t xml:space="preserve"> </w:t>
      </w:r>
      <w:r w:rsidRPr="00EB4F97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 на 2021</w:t>
      </w:r>
      <w:r w:rsidR="00086D3D">
        <w:rPr>
          <w:sz w:val="28"/>
          <w:szCs w:val="28"/>
          <w:lang w:val="uk-UA"/>
        </w:rPr>
        <w:t xml:space="preserve"> рік":</w:t>
      </w:r>
    </w:p>
    <w:p w:rsidR="00295194" w:rsidRDefault="00086D3D" w:rsidP="00086D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1.1. З</w:t>
      </w:r>
      <w:r w:rsidR="00A928BB">
        <w:rPr>
          <w:sz w:val="28"/>
          <w:szCs w:val="28"/>
          <w:lang w:val="uk-UA"/>
        </w:rPr>
        <w:t>більши</w:t>
      </w:r>
      <w:r w:rsidR="00E732E9">
        <w:rPr>
          <w:sz w:val="28"/>
          <w:szCs w:val="28"/>
          <w:lang w:val="uk-UA"/>
        </w:rPr>
        <w:t>т</w:t>
      </w:r>
      <w:r w:rsidR="00A928BB">
        <w:rPr>
          <w:sz w:val="28"/>
          <w:szCs w:val="28"/>
          <w:lang w:val="uk-UA"/>
        </w:rPr>
        <w:t>и</w:t>
      </w:r>
      <w:r w:rsidR="00295194" w:rsidRPr="002A11DA">
        <w:rPr>
          <w:sz w:val="28"/>
          <w:szCs w:val="28"/>
          <w:lang w:val="uk-UA"/>
        </w:rPr>
        <w:t xml:space="preserve"> </w:t>
      </w:r>
      <w:r w:rsidR="00295194">
        <w:rPr>
          <w:sz w:val="28"/>
          <w:szCs w:val="28"/>
          <w:lang w:val="uk-UA"/>
        </w:rPr>
        <w:t>ліміти споживання енергоносіїв та водопостачання на 2021</w:t>
      </w:r>
      <w:r>
        <w:rPr>
          <w:sz w:val="28"/>
          <w:szCs w:val="28"/>
          <w:lang w:val="uk-UA"/>
        </w:rPr>
        <w:t xml:space="preserve"> рік</w:t>
      </w:r>
      <w:r w:rsidR="00295194">
        <w:rPr>
          <w:sz w:val="28"/>
          <w:szCs w:val="28"/>
          <w:lang w:val="uk-UA"/>
        </w:rPr>
        <w:t xml:space="preserve"> Виконавчому комітету Хмільницької </w:t>
      </w:r>
      <w:r w:rsidR="00A928BB">
        <w:rPr>
          <w:sz w:val="28"/>
          <w:szCs w:val="28"/>
          <w:lang w:val="uk-UA"/>
        </w:rPr>
        <w:t>міської ради</w:t>
      </w:r>
      <w:r w:rsidR="00295194">
        <w:rPr>
          <w:sz w:val="28"/>
          <w:szCs w:val="28"/>
          <w:lang w:val="uk-UA"/>
        </w:rPr>
        <w:t>:</w:t>
      </w:r>
    </w:p>
    <w:p w:rsidR="00295194" w:rsidRDefault="00295194" w:rsidP="002951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електроенергії за КЕКВ 2273 на 4917 кВт.</w:t>
      </w:r>
    </w:p>
    <w:p w:rsidR="00295194" w:rsidRDefault="00295194" w:rsidP="002951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природного газу за КЕКВ 2274 на 1434 м</w:t>
      </w:r>
      <w:r w:rsidRPr="00217004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295194" w:rsidRDefault="00295194" w:rsidP="002951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086D3D">
        <w:rPr>
          <w:sz w:val="28"/>
          <w:szCs w:val="28"/>
          <w:lang w:val="uk-UA"/>
        </w:rPr>
        <w:t>Затверди</w:t>
      </w:r>
      <w:r w:rsidR="00E732E9">
        <w:rPr>
          <w:sz w:val="28"/>
          <w:szCs w:val="28"/>
          <w:lang w:val="uk-UA"/>
        </w:rPr>
        <w:t>т</w:t>
      </w:r>
      <w:r w:rsidR="00086D3D">
        <w:rPr>
          <w:sz w:val="28"/>
          <w:szCs w:val="28"/>
          <w:lang w:val="uk-UA"/>
        </w:rPr>
        <w:t>и</w:t>
      </w:r>
      <w:r w:rsidR="00086D3D" w:rsidRPr="006A00E9">
        <w:rPr>
          <w:sz w:val="28"/>
          <w:szCs w:val="28"/>
          <w:lang w:val="uk-UA"/>
        </w:rPr>
        <w:t xml:space="preserve"> ліміти споживання енергоносіїв та водопостачання на 2021 рік </w:t>
      </w:r>
      <w:r w:rsidR="00086D3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правлінню житлово-комунального господарства та комунальної власності Хмільницької міської ради:</w:t>
      </w:r>
    </w:p>
    <w:p w:rsidR="00295194" w:rsidRDefault="00295194" w:rsidP="0029519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водопостачання та водовідведення за КЕКВ 2272 - 80</w:t>
      </w:r>
      <w:r w:rsidRPr="00095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EC5DA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95194" w:rsidRDefault="00295194" w:rsidP="0029519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оплата</w:t>
      </w:r>
      <w:r w:rsidRPr="00095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електроенергії за КЕКВ 2273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6000</w:t>
      </w:r>
      <w:r w:rsidRPr="00095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кВт.</w:t>
      </w:r>
    </w:p>
    <w:p w:rsidR="00295194" w:rsidRPr="00EC5DA8" w:rsidRDefault="00295194" w:rsidP="0029519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природного газу за КЕКВ 2274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4000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EC5DA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95194" w:rsidRDefault="00295194" w:rsidP="002951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Додаток 1 до рішення виконавчого комітету Хмільницької міської ради від 21.01.2021 року №73 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рік", викласти у новій редакції (додається).</w:t>
      </w:r>
    </w:p>
    <w:p w:rsidR="00295194" w:rsidRDefault="00295194" w:rsidP="002951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Додаток 1 до рішення виконавчого комітету Хмільницької міської ради від 21.01.2021 року №73 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 в попередній редакції визнати таким, що втратив чинність.</w:t>
      </w:r>
    </w:p>
    <w:p w:rsidR="00295194" w:rsidRDefault="00295194" w:rsidP="002951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документа, зазначеного у пунктах 1- 3 цього рішення.</w:t>
      </w:r>
    </w:p>
    <w:p w:rsidR="00295194" w:rsidRDefault="00295194" w:rsidP="00295194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295194" w:rsidRDefault="00295194" w:rsidP="00295194">
      <w:pPr>
        <w:ind w:firstLine="567"/>
        <w:jc w:val="both"/>
        <w:rPr>
          <w:b/>
          <w:sz w:val="28"/>
          <w:szCs w:val="28"/>
          <w:lang w:val="uk-UA"/>
        </w:rPr>
      </w:pPr>
    </w:p>
    <w:p w:rsidR="00295194" w:rsidRDefault="00295194" w:rsidP="00295194">
      <w:pPr>
        <w:ind w:firstLine="567"/>
        <w:jc w:val="both"/>
        <w:rPr>
          <w:b/>
          <w:sz w:val="28"/>
          <w:szCs w:val="28"/>
          <w:lang w:val="uk-UA"/>
        </w:rPr>
      </w:pPr>
    </w:p>
    <w:p w:rsidR="00295194" w:rsidRPr="00D37CC8" w:rsidRDefault="00295194" w:rsidP="00295194">
      <w:pPr>
        <w:ind w:firstLine="567"/>
        <w:jc w:val="both"/>
        <w:rPr>
          <w:b/>
          <w:sz w:val="28"/>
          <w:szCs w:val="28"/>
          <w:lang w:val="uk-UA"/>
        </w:rPr>
        <w:sectPr w:rsidR="00295194" w:rsidRPr="00D37CC8" w:rsidSect="009775B2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>Міський голова              М.В.</w:t>
      </w:r>
      <w:proofErr w:type="spellStart"/>
      <w:r>
        <w:rPr>
          <w:b/>
          <w:sz w:val="28"/>
          <w:szCs w:val="28"/>
          <w:lang w:val="uk-UA"/>
        </w:rPr>
        <w:t>Юрчишин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295194" w:rsidRPr="00295194" w:rsidRDefault="00295194" w:rsidP="00295194">
      <w:pPr>
        <w:jc w:val="right"/>
        <w:rPr>
          <w:lang w:val="uk-UA"/>
        </w:rPr>
      </w:pPr>
      <w:r w:rsidRPr="00295194">
        <w:rPr>
          <w:lang w:val="uk-UA"/>
        </w:rPr>
        <w:lastRenderedPageBreak/>
        <w:t xml:space="preserve">                                                                             Додаток 1</w:t>
      </w:r>
    </w:p>
    <w:p w:rsidR="00295194" w:rsidRPr="00295194" w:rsidRDefault="00295194" w:rsidP="00295194">
      <w:pPr>
        <w:jc w:val="right"/>
        <w:rPr>
          <w:lang w:val="uk-UA"/>
        </w:rPr>
      </w:pP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</w:t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                                     до рішення виконавчого комітету Хмільницької  міської ради  </w:t>
      </w:r>
    </w:p>
    <w:p w:rsidR="00295194" w:rsidRPr="00295194" w:rsidRDefault="00295194" w:rsidP="00295194">
      <w:pPr>
        <w:jc w:val="right"/>
        <w:rPr>
          <w:lang w:val="uk-UA"/>
        </w:rPr>
      </w:pPr>
      <w:r w:rsidRPr="00295194">
        <w:rPr>
          <w:lang w:val="uk-UA"/>
        </w:rPr>
        <w:t xml:space="preserve">                                    від  </w:t>
      </w:r>
      <w:r w:rsidRPr="00295194">
        <w:rPr>
          <w:lang w:val="uk-UA"/>
        </w:rPr>
        <w:softHyphen/>
        <w:t>__ _______ 202</w:t>
      </w:r>
      <w:bookmarkStart w:id="0" w:name="_GoBack"/>
      <w:bookmarkEnd w:id="0"/>
      <w:r w:rsidRPr="00295194">
        <w:rPr>
          <w:lang w:val="uk-UA"/>
        </w:rPr>
        <w:t>1р. №____</w:t>
      </w:r>
    </w:p>
    <w:p w:rsidR="00295194" w:rsidRPr="00295194" w:rsidRDefault="00295194" w:rsidP="00295194">
      <w:pPr>
        <w:jc w:val="center"/>
        <w:rPr>
          <w:b/>
          <w:lang w:val="uk-UA"/>
        </w:rPr>
      </w:pPr>
    </w:p>
    <w:p w:rsidR="00295194" w:rsidRPr="00295194" w:rsidRDefault="00295194" w:rsidP="00295194">
      <w:pPr>
        <w:jc w:val="center"/>
        <w:rPr>
          <w:b/>
          <w:lang w:val="uk-UA"/>
        </w:rPr>
      </w:pPr>
      <w:r w:rsidRPr="00295194">
        <w:rPr>
          <w:b/>
          <w:lang w:val="uk-UA"/>
        </w:rPr>
        <w:t>ЛІМІТИ СПОЖИВАННЯ ЕНЕРГОНОСІЇВ ТА ВОДОПОСТАЧАННЯ У</w:t>
      </w:r>
    </w:p>
    <w:p w:rsidR="00295194" w:rsidRPr="00295194" w:rsidRDefault="00295194" w:rsidP="00295194">
      <w:pPr>
        <w:jc w:val="center"/>
        <w:rPr>
          <w:b/>
          <w:lang w:val="uk-UA"/>
        </w:rPr>
      </w:pPr>
      <w:r w:rsidRPr="00295194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295194" w:rsidRPr="00295194" w:rsidRDefault="00295194" w:rsidP="00295194">
      <w:pPr>
        <w:jc w:val="center"/>
        <w:rPr>
          <w:b/>
          <w:lang w:val="uk-UA"/>
        </w:rPr>
      </w:pPr>
      <w:r w:rsidRPr="00295194">
        <w:rPr>
          <w:b/>
          <w:lang w:val="uk-UA"/>
        </w:rPr>
        <w:t>БЮДЖЕТНИХ УСТАНОВ НА 2021 РІК</w:t>
      </w:r>
    </w:p>
    <w:p w:rsidR="00295194" w:rsidRPr="00295194" w:rsidRDefault="00295194" w:rsidP="00295194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5883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6804"/>
        <w:gridCol w:w="1984"/>
        <w:gridCol w:w="1701"/>
        <w:gridCol w:w="1617"/>
        <w:gridCol w:w="1250"/>
        <w:gridCol w:w="1160"/>
      </w:tblGrid>
      <w:tr w:rsidR="00295194" w:rsidRPr="00295194" w:rsidTr="00295194">
        <w:trPr>
          <w:cantSplit/>
          <w:trHeight w:val="813"/>
          <w:jc w:val="center"/>
        </w:trPr>
        <w:tc>
          <w:tcPr>
            <w:tcW w:w="1367" w:type="dxa"/>
            <w:vMerge w:val="restart"/>
          </w:tcPr>
          <w:p w:rsidR="00295194" w:rsidRPr="00295194" w:rsidRDefault="00295194" w:rsidP="0029519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804" w:type="dxa"/>
            <w:vMerge w:val="restart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</w:p>
          <w:p w:rsidR="00295194" w:rsidRPr="00295194" w:rsidRDefault="00295194" w:rsidP="00295194">
            <w:pPr>
              <w:rPr>
                <w:b/>
                <w:sz w:val="24"/>
                <w:szCs w:val="24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984" w:type="dxa"/>
            <w:vMerge w:val="restart"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Водопостачання та водовідведення</w:t>
            </w:r>
          </w:p>
        </w:tc>
        <w:tc>
          <w:tcPr>
            <w:tcW w:w="1701" w:type="dxa"/>
            <w:vMerge w:val="restart"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617" w:type="dxa"/>
            <w:vMerge w:val="restart"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410" w:type="dxa"/>
            <w:gridSpan w:val="2"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295194" w:rsidRPr="00295194" w:rsidTr="00295194">
        <w:trPr>
          <w:cantSplit/>
          <w:trHeight w:val="539"/>
          <w:jc w:val="center"/>
        </w:trPr>
        <w:tc>
          <w:tcPr>
            <w:tcW w:w="1367" w:type="dxa"/>
            <w:vMerge/>
          </w:tcPr>
          <w:p w:rsidR="00295194" w:rsidRPr="00295194" w:rsidRDefault="00295194" w:rsidP="0029519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vMerge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Вугілля, </w:t>
            </w:r>
          </w:p>
        </w:tc>
      </w:tr>
      <w:tr w:rsidR="00295194" w:rsidRPr="00295194" w:rsidTr="00295194">
        <w:trPr>
          <w:trHeight w:val="220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295194" w:rsidRPr="00295194" w:rsidTr="00295194">
        <w:trPr>
          <w:trHeight w:val="87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550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97877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46086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67,55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295194" w:rsidRPr="00295194" w:rsidTr="00295194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295194" w:rsidRPr="00295194" w:rsidRDefault="00295194" w:rsidP="0029519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346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18823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20070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87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87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2500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4300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1323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770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295194" w:rsidRPr="00295194" w:rsidRDefault="00295194" w:rsidP="0029519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11270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>897180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528130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2427,2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255</w:t>
            </w:r>
          </w:p>
        </w:tc>
      </w:tr>
      <w:tr w:rsidR="00295194" w:rsidRPr="00295194" w:rsidTr="00295194">
        <w:trPr>
          <w:trHeight w:val="452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3140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3080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330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315090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162300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361,2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295194" w:rsidRPr="00295194" w:rsidTr="00295194">
        <w:trPr>
          <w:trHeight w:val="330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556050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338000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2066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240</w:t>
            </w:r>
          </w:p>
        </w:tc>
      </w:tr>
      <w:tr w:rsidR="00295194" w:rsidRPr="00295194" w:rsidTr="00295194">
        <w:trPr>
          <w:trHeight w:val="330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4800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95194" w:rsidRPr="00295194" w:rsidTr="00295194">
        <w:trPr>
          <w:trHeight w:val="422"/>
          <w:jc w:val="center"/>
        </w:trPr>
        <w:tc>
          <w:tcPr>
            <w:tcW w:w="1367" w:type="dxa"/>
            <w:vMerge w:val="restart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0</w:t>
            </w:r>
            <w:r w:rsidRPr="00295194">
              <w:rPr>
                <w:sz w:val="24"/>
                <w:szCs w:val="24"/>
                <w:lang w:val="uk-UA"/>
              </w:rPr>
              <w:t>611141</w:t>
            </w:r>
            <w:r w:rsidRPr="00295194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6430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4700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95194" w:rsidRPr="00295194" w:rsidTr="00295194">
        <w:trPr>
          <w:trHeight w:val="336"/>
          <w:jc w:val="center"/>
        </w:trPr>
        <w:tc>
          <w:tcPr>
            <w:tcW w:w="1367" w:type="dxa"/>
            <w:vMerge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4050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2750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206"/>
          <w:jc w:val="center"/>
        </w:trPr>
        <w:tc>
          <w:tcPr>
            <w:tcW w:w="1367" w:type="dxa"/>
            <w:vMerge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2380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206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441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0611160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</w:rPr>
              <w:t xml:space="preserve">Центр </w:t>
            </w:r>
            <w:r w:rsidRPr="00295194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295194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2170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295194" w:rsidRPr="00295194" w:rsidRDefault="00295194" w:rsidP="00295194">
            <w:pPr>
              <w:rPr>
                <w:sz w:val="24"/>
                <w:szCs w:val="24"/>
                <w:lang w:val="en-US"/>
              </w:rPr>
            </w:pPr>
            <w:r w:rsidRPr="00295194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proofErr w:type="spellStart"/>
            <w:r w:rsidRPr="00295194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295194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2951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9100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295194" w:rsidRPr="00295194" w:rsidRDefault="00295194" w:rsidP="00295194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295194" w:rsidRPr="00295194" w:rsidRDefault="00295194" w:rsidP="00295194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292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108015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54445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401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1580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755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401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4220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10200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401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sz w:val="24"/>
                <w:szCs w:val="24"/>
                <w:lang w:val="uk-UA"/>
              </w:rPr>
              <w:t>Забезпечення діяльності  бібліотек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33450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428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Забезпечення діяльності  музеїв і виставок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7315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374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Забезпечення діяльності  палаців і будинків культури, клубів, центрів дозвілля та інших клубних закладів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145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61450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43490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374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6294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3024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374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804" w:type="dxa"/>
          </w:tcPr>
          <w:p w:rsidR="00295194" w:rsidRPr="00295194" w:rsidRDefault="00295194" w:rsidP="0029519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  <w:p w:rsidR="00295194" w:rsidRPr="00295194" w:rsidRDefault="00295194" w:rsidP="00295194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6000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4000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95194" w:rsidRPr="00295194" w:rsidTr="00295194">
        <w:trPr>
          <w:trHeight w:val="265"/>
          <w:jc w:val="center"/>
        </w:trPr>
        <w:tc>
          <w:tcPr>
            <w:tcW w:w="1367" w:type="dxa"/>
          </w:tcPr>
          <w:p w:rsidR="00295194" w:rsidRPr="00295194" w:rsidRDefault="00295194" w:rsidP="00295194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95194" w:rsidRPr="00295194" w:rsidRDefault="00295194" w:rsidP="00295194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295194" w:rsidRPr="00295194" w:rsidRDefault="00295194" w:rsidP="00295194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984" w:type="dxa"/>
          </w:tcPr>
          <w:p w:rsidR="00295194" w:rsidRPr="00295194" w:rsidRDefault="00295194" w:rsidP="002951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95194" w:rsidRPr="00295194" w:rsidRDefault="00295194" w:rsidP="002951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12604</w:t>
            </w:r>
          </w:p>
        </w:tc>
        <w:tc>
          <w:tcPr>
            <w:tcW w:w="1701" w:type="dxa"/>
          </w:tcPr>
          <w:p w:rsidR="00295194" w:rsidRPr="00295194" w:rsidRDefault="00295194" w:rsidP="002951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95194" w:rsidRPr="00295194" w:rsidRDefault="00295194" w:rsidP="002951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1134189</w:t>
            </w:r>
          </w:p>
        </w:tc>
        <w:tc>
          <w:tcPr>
            <w:tcW w:w="1617" w:type="dxa"/>
          </w:tcPr>
          <w:p w:rsidR="00295194" w:rsidRPr="00295194" w:rsidRDefault="00295194" w:rsidP="002951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95194" w:rsidRPr="00295194" w:rsidRDefault="00295194" w:rsidP="002951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655755</w:t>
            </w:r>
          </w:p>
        </w:tc>
        <w:tc>
          <w:tcPr>
            <w:tcW w:w="1250" w:type="dxa"/>
          </w:tcPr>
          <w:p w:rsidR="00295194" w:rsidRPr="00295194" w:rsidRDefault="00295194" w:rsidP="002951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95194" w:rsidRPr="00295194" w:rsidRDefault="00295194" w:rsidP="002951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2494,75</w:t>
            </w:r>
          </w:p>
        </w:tc>
        <w:tc>
          <w:tcPr>
            <w:tcW w:w="1160" w:type="dxa"/>
          </w:tcPr>
          <w:p w:rsidR="00295194" w:rsidRPr="00295194" w:rsidRDefault="00295194" w:rsidP="002951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95194" w:rsidRPr="00295194" w:rsidRDefault="00295194" w:rsidP="00295194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258</w:t>
            </w:r>
          </w:p>
        </w:tc>
      </w:tr>
    </w:tbl>
    <w:p w:rsidR="00295194" w:rsidRPr="00295194" w:rsidRDefault="00295194" w:rsidP="00295194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295194" w:rsidRPr="00295194" w:rsidRDefault="00295194" w:rsidP="00295194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</w:p>
    <w:p w:rsidR="00295194" w:rsidRPr="00295194" w:rsidRDefault="00295194" w:rsidP="00295194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  <w:r w:rsidRPr="00295194">
        <w:rPr>
          <w:b/>
          <w:color w:val="000000"/>
          <w:sz w:val="28"/>
          <w:szCs w:val="28"/>
          <w:lang w:val="uk-UA"/>
        </w:rPr>
        <w:t xml:space="preserve">Керуючий справами виконкому                </w:t>
      </w:r>
      <w:r w:rsidRPr="00295194">
        <w:rPr>
          <w:b/>
          <w:color w:val="000000"/>
          <w:sz w:val="28"/>
          <w:szCs w:val="28"/>
        </w:rPr>
        <w:t xml:space="preserve">                 </w:t>
      </w:r>
      <w:r w:rsidRPr="00295194">
        <w:rPr>
          <w:b/>
          <w:color w:val="000000"/>
          <w:sz w:val="28"/>
          <w:szCs w:val="28"/>
          <w:lang w:val="uk-UA"/>
        </w:rPr>
        <w:t xml:space="preserve">                                   </w:t>
      </w:r>
      <w:r w:rsidRPr="00295194">
        <w:rPr>
          <w:b/>
          <w:color w:val="000000"/>
          <w:sz w:val="28"/>
          <w:szCs w:val="28"/>
        </w:rPr>
        <w:t xml:space="preserve">                          </w:t>
      </w:r>
      <w:r w:rsidRPr="00295194">
        <w:rPr>
          <w:b/>
          <w:color w:val="000000"/>
          <w:sz w:val="28"/>
          <w:szCs w:val="28"/>
          <w:lang w:val="uk-UA"/>
        </w:rPr>
        <w:t xml:space="preserve">    С.П. </w:t>
      </w:r>
      <w:proofErr w:type="spellStart"/>
      <w:r w:rsidRPr="00295194">
        <w:rPr>
          <w:b/>
          <w:color w:val="000000"/>
          <w:sz w:val="28"/>
          <w:szCs w:val="28"/>
          <w:lang w:val="uk-UA"/>
        </w:rPr>
        <w:t>Маташ</w:t>
      </w:r>
      <w:proofErr w:type="spellEnd"/>
    </w:p>
    <w:p w:rsidR="00295194" w:rsidRPr="00295194" w:rsidRDefault="00295194" w:rsidP="00295194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513527" w:rsidRPr="00295194" w:rsidRDefault="00513527">
      <w:pPr>
        <w:rPr>
          <w:lang w:val="uk-UA"/>
        </w:rPr>
      </w:pPr>
    </w:p>
    <w:sectPr w:rsidR="00513527" w:rsidRPr="00295194" w:rsidSect="0029519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5194"/>
    <w:rsid w:val="00033225"/>
    <w:rsid w:val="00086D3D"/>
    <w:rsid w:val="00243150"/>
    <w:rsid w:val="00295194"/>
    <w:rsid w:val="004D0ABF"/>
    <w:rsid w:val="00513527"/>
    <w:rsid w:val="00A928BB"/>
    <w:rsid w:val="00E7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1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1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51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2021-04-06T06:35:00Z</cp:lastPrinted>
  <dcterms:created xsi:type="dcterms:W3CDTF">2021-04-05T10:58:00Z</dcterms:created>
  <dcterms:modified xsi:type="dcterms:W3CDTF">2021-04-06T06:36:00Z</dcterms:modified>
</cp:coreProperties>
</file>