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7435F2">
        <w:rPr>
          <w:rFonts w:ascii="Times New Roman" w:hAnsi="Times New Roman"/>
          <w:sz w:val="24"/>
          <w:szCs w:val="24"/>
        </w:rPr>
        <w:t>10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7435F2">
        <w:rPr>
          <w:rFonts w:ascii="Times New Roman" w:hAnsi="Times New Roman"/>
          <w:sz w:val="24"/>
          <w:szCs w:val="24"/>
        </w:rPr>
        <w:t>червня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F327AB">
        <w:rPr>
          <w:rFonts w:ascii="Times New Roman" w:hAnsi="Times New Roman"/>
          <w:sz w:val="24"/>
          <w:szCs w:val="24"/>
        </w:rPr>
        <w:t>1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7435F2">
        <w:rPr>
          <w:rFonts w:ascii="Times New Roman" w:hAnsi="Times New Roman"/>
          <w:sz w:val="24"/>
          <w:szCs w:val="24"/>
        </w:rPr>
        <w:t>301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і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ради</w:t>
      </w:r>
      <w:proofErr w:type="gramEnd"/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В.М,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F327AB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6501CE">
        <w:rPr>
          <w:rFonts w:ascii="Times New Roman" w:hAnsi="Times New Roman"/>
          <w:sz w:val="24"/>
          <w:szCs w:val="24"/>
        </w:rPr>
        <w:t xml:space="preserve"> І.</w:t>
      </w:r>
      <w:r w:rsidR="00F327AB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 xml:space="preserve">.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F327AB">
        <w:rPr>
          <w:rFonts w:ascii="Times New Roman" w:hAnsi="Times New Roman"/>
          <w:sz w:val="24"/>
          <w:szCs w:val="24"/>
          <w:lang w:val="uk-UA"/>
        </w:rPr>
        <w:t>Литвине</w:t>
      </w:r>
      <w:r w:rsidR="00262562">
        <w:rPr>
          <w:rFonts w:ascii="Times New Roman" w:hAnsi="Times New Roman"/>
          <w:sz w:val="24"/>
          <w:szCs w:val="24"/>
          <w:lang w:val="uk-UA"/>
        </w:rPr>
        <w:t>н</w:t>
      </w:r>
      <w:r w:rsidR="00F327AB">
        <w:rPr>
          <w:rFonts w:ascii="Times New Roman" w:hAnsi="Times New Roman"/>
          <w:sz w:val="24"/>
          <w:szCs w:val="24"/>
          <w:lang w:val="uk-UA"/>
        </w:rPr>
        <w:t>ко</w:t>
      </w:r>
      <w:proofErr w:type="gramStart"/>
      <w:r w:rsidR="006501CE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="00F327AB">
        <w:rPr>
          <w:rFonts w:ascii="Times New Roman" w:hAnsi="Times New Roman"/>
          <w:sz w:val="24"/>
          <w:szCs w:val="24"/>
          <w:lang w:val="uk-UA"/>
        </w:rPr>
        <w:t>С</w:t>
      </w:r>
      <w:r w:rsidR="006501CE">
        <w:rPr>
          <w:rFonts w:ascii="Times New Roman" w:hAnsi="Times New Roman"/>
          <w:sz w:val="24"/>
          <w:szCs w:val="24"/>
        </w:rPr>
        <w:t>.)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(П</w:t>
      </w:r>
      <w:proofErr w:type="spellStart"/>
      <w:r w:rsidR="00F327AB">
        <w:rPr>
          <w:rFonts w:ascii="Times New Roman" w:hAnsi="Times New Roman"/>
          <w:sz w:val="24"/>
          <w:szCs w:val="24"/>
          <w:lang w:val="uk-UA"/>
        </w:rPr>
        <w:t>рокопович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F327AB">
        <w:rPr>
          <w:rFonts w:ascii="Times New Roman" w:hAnsi="Times New Roman"/>
          <w:sz w:val="24"/>
          <w:szCs w:val="24"/>
          <w:lang w:val="uk-UA"/>
        </w:rPr>
        <w:t>Ю</w:t>
      </w:r>
      <w:r w:rsidRPr="006501CE">
        <w:rPr>
          <w:rFonts w:ascii="Times New Roman" w:hAnsi="Times New Roman"/>
          <w:sz w:val="24"/>
          <w:szCs w:val="24"/>
        </w:rPr>
        <w:t>.</w:t>
      </w:r>
      <w:r w:rsidR="00F327AB">
        <w:rPr>
          <w:rFonts w:ascii="Times New Roman" w:hAnsi="Times New Roman"/>
          <w:sz w:val="24"/>
          <w:szCs w:val="24"/>
          <w:lang w:val="uk-UA"/>
        </w:rPr>
        <w:t>І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7.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ЖЕК»  </w:t>
      </w:r>
      <w:r w:rsidRPr="006501CE">
        <w:rPr>
          <w:rFonts w:ascii="Times New Roman" w:hAnsi="Times New Roman"/>
          <w:sz w:val="24"/>
          <w:szCs w:val="24"/>
          <w:lang w:val="uk-UA"/>
        </w:rPr>
        <w:t>до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житла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зими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 w:rsidRPr="006501CE">
        <w:rPr>
          <w:rFonts w:ascii="Times New Roman" w:hAnsi="Times New Roman"/>
          <w:sz w:val="24"/>
          <w:szCs w:val="24"/>
        </w:rPr>
        <w:t>чергу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покрівель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6501CE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мереж та систем,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димовентиляційні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канали квартир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заміну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трубопроводів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засклення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вікон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Pr="006501CE">
        <w:rPr>
          <w:rFonts w:ascii="Times New Roman" w:hAnsi="Times New Roman"/>
          <w:sz w:val="24"/>
          <w:szCs w:val="24"/>
        </w:rPr>
        <w:t xml:space="preserve">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заготовити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труб, </w:t>
      </w:r>
      <w:proofErr w:type="spellStart"/>
      <w:r w:rsidRPr="006501CE">
        <w:rPr>
          <w:rFonts w:ascii="Times New Roman" w:hAnsi="Times New Roman"/>
          <w:sz w:val="24"/>
          <w:szCs w:val="24"/>
        </w:rPr>
        <w:t>скла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шиферу,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руберойду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непередбачених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ремонту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фонду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8. КП “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</w:rPr>
        <w:t>” (</w:t>
      </w:r>
      <w:r w:rsidRPr="006501CE">
        <w:rPr>
          <w:rFonts w:ascii="Times New Roman" w:hAnsi="Times New Roman"/>
          <w:sz w:val="24"/>
          <w:szCs w:val="24"/>
          <w:lang w:val="uk-UA"/>
        </w:rPr>
        <w:t>Бойко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водопровідних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підйомів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очисних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споруд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насосних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насосного </w:t>
      </w:r>
      <w:proofErr w:type="spellStart"/>
      <w:r w:rsidRPr="006501C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501CE">
        <w:rPr>
          <w:rFonts w:ascii="Times New Roman" w:hAnsi="Times New Roman"/>
          <w:sz w:val="24"/>
          <w:szCs w:val="24"/>
        </w:rPr>
        <w:t>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обсязі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відновити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місцях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 </w:t>
      </w:r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  <w:lang w:val="uk-UA"/>
        </w:rPr>
        <w:t>ід час виконання ремонтних робіт  та  інженерних мереж.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9.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намітити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опублікувати </w:t>
      </w:r>
      <w:proofErr w:type="spellStart"/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веб-сайті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11. Рекомендувати  керівникам 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ради,  підготувати на затвердження  основні заходи з підготовки 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організацій житлово-комунального господарства, об’єктів  соціальної  сфери міста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12.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«Хмільницька ЖЕК»,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 міської ради забезпечити щомісячне 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 та 15 числа 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185242" w:rsidP="007830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13. Розглянути питання про стан підготовки  житлово-комунального господарства та об’єктів соціальної сфери міста в осінньо-зимовий період 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 на  засіданні  виконкому 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6501CE">
        <w:rPr>
          <w:rFonts w:ascii="Times New Roman" w:hAnsi="Times New Roman"/>
          <w:sz w:val="24"/>
          <w:szCs w:val="24"/>
        </w:rPr>
        <w:t>(</w:t>
      </w:r>
      <w:proofErr w:type="spellStart"/>
      <w:r w:rsidR="006C5776" w:rsidRPr="006501CE">
        <w:rPr>
          <w:rFonts w:ascii="Times New Roman" w:hAnsi="Times New Roman"/>
          <w:sz w:val="24"/>
          <w:szCs w:val="24"/>
        </w:rPr>
        <w:t>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="006C5776"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C5776" w:rsidRPr="006501CE">
        <w:rPr>
          <w:rFonts w:ascii="Times New Roman" w:hAnsi="Times New Roman"/>
          <w:color w:val="000000"/>
          <w:sz w:val="24"/>
          <w:szCs w:val="24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В. М.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6C5776" w:rsidRPr="006C5776" w:rsidRDefault="006C5776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.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В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F327AB">
        <w:rPr>
          <w:rFonts w:ascii="Times New Roman" w:hAnsi="Times New Roman"/>
          <w:b/>
          <w:sz w:val="24"/>
          <w:szCs w:val="24"/>
          <w:lang w:val="uk-UA"/>
        </w:rPr>
        <w:t>Юрчишин</w:t>
      </w:r>
      <w:proofErr w:type="spellEnd"/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E30D41">
        <w:rPr>
          <w:rFonts w:ascii="Times New Roman" w:hAnsi="Times New Roman"/>
          <w:sz w:val="24"/>
          <w:szCs w:val="24"/>
        </w:rPr>
        <w:t xml:space="preserve">10 червня 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F327AB">
        <w:rPr>
          <w:rFonts w:ascii="Times New Roman" w:hAnsi="Times New Roman"/>
          <w:sz w:val="24"/>
          <w:szCs w:val="24"/>
        </w:rPr>
        <w:t>1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E30D41">
        <w:rPr>
          <w:rFonts w:ascii="Times New Roman" w:hAnsi="Times New Roman"/>
          <w:sz w:val="24"/>
          <w:szCs w:val="24"/>
        </w:rPr>
        <w:t>301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149E0" w:rsidRDefault="00185242" w:rsidP="00710F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9E0">
        <w:rPr>
          <w:rFonts w:ascii="Times New Roman" w:hAnsi="Times New Roman"/>
          <w:sz w:val="24"/>
          <w:szCs w:val="24"/>
        </w:rPr>
        <w:t>Склад</w:t>
      </w:r>
    </w:p>
    <w:p w:rsidR="00185242" w:rsidRPr="00AC64B3" w:rsidRDefault="00185242" w:rsidP="00D149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64B3">
        <w:rPr>
          <w:rFonts w:ascii="Times New Roman" w:hAnsi="Times New Roman"/>
          <w:sz w:val="24"/>
          <w:szCs w:val="24"/>
          <w:lang w:val="uk-UA"/>
        </w:rPr>
        <w:t xml:space="preserve">міського оперативного штабу </w:t>
      </w:r>
      <w:r w:rsidR="000B0F31">
        <w:rPr>
          <w:rFonts w:ascii="Times New Roman" w:hAnsi="Times New Roman"/>
          <w:sz w:val="24"/>
          <w:szCs w:val="24"/>
          <w:lang w:val="uk-UA"/>
        </w:rPr>
        <w:t>з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підготов</w:t>
      </w:r>
      <w:r w:rsidR="000B0F31">
        <w:rPr>
          <w:rFonts w:ascii="Times New Roman" w:hAnsi="Times New Roman"/>
          <w:sz w:val="24"/>
          <w:szCs w:val="24"/>
          <w:lang w:val="uk-UA"/>
        </w:rPr>
        <w:t>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житлово-комунального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64B3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сфери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C64B3">
        <w:rPr>
          <w:rFonts w:ascii="Times New Roman" w:hAnsi="Times New Roman"/>
          <w:sz w:val="24"/>
          <w:szCs w:val="24"/>
          <w:lang w:val="uk-UA"/>
        </w:rPr>
        <w:t>міс</w:t>
      </w:r>
      <w:r w:rsidR="00AC64B3">
        <w:rPr>
          <w:rFonts w:ascii="Times New Roman" w:hAnsi="Times New Roman"/>
          <w:sz w:val="24"/>
          <w:szCs w:val="24"/>
          <w:lang w:val="uk-UA"/>
        </w:rPr>
        <w:t>ької територіальної громади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в осінньо-зимовий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період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AC64B3">
        <w:rPr>
          <w:rFonts w:ascii="Times New Roman" w:hAnsi="Times New Roman"/>
          <w:sz w:val="24"/>
          <w:szCs w:val="24"/>
          <w:lang w:val="uk-UA"/>
        </w:rPr>
        <w:t>-20</w:t>
      </w:r>
      <w:r w:rsidR="00AC64B3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В.М.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Загіка</w:t>
            </w:r>
            <w:proofErr w:type="spellEnd"/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8C4443" w:rsidRDefault="00185242" w:rsidP="003F6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</w:t>
            </w:r>
            <w:r w:rsidR="003F6BDD">
              <w:rPr>
                <w:rFonts w:ascii="Times New Roman" w:hAnsi="Times New Roman"/>
                <w:sz w:val="24"/>
                <w:szCs w:val="24"/>
              </w:rPr>
              <w:t xml:space="preserve">житлово-комунального господарства та комунальної власності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міської ради – І.</w:t>
            </w:r>
            <w:r w:rsidR="00F327AB"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27AB">
              <w:rPr>
                <w:rFonts w:ascii="Times New Roman" w:hAnsi="Times New Roman"/>
                <w:sz w:val="24"/>
                <w:szCs w:val="24"/>
              </w:rPr>
              <w:t>Литвиненко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А.В.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8C4443">
            <w:pPr>
              <w:pStyle w:val="a3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 управління праці та соціального захисту населення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міської ради – І.Я.Тимошенко;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 управління освіти</w:t>
            </w:r>
            <w:r>
              <w:rPr>
                <w:rFonts w:ascii="Times New Roman" w:hAnsi="Times New Roman"/>
                <w:sz w:val="24"/>
                <w:szCs w:val="24"/>
              </w:rPr>
              <w:t>, молоді та спорту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міської ради – Г.І.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Коведа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E30D41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8C4443" w:rsidRDefault="001140FA" w:rsidP="00250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відділу цивільного захисту, оборонної роботи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заємодії з правоохоронними органами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міської ради – В.П.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Коломійчук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E30D41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262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Хмільницького </w:t>
            </w: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АТ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Вінницягаз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 - І.Р.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Квік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3F6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КП «Хмільницька ЖЕК»;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иректор 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Хмільникводоканал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8C4443">
            <w:pPr>
              <w:pStyle w:val="a3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85242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Начальник КП «</w:t>
            </w:r>
            <w:proofErr w:type="spellStart"/>
            <w:r w:rsidR="001140FA" w:rsidRPr="008C4443">
              <w:rPr>
                <w:rFonts w:ascii="Times New Roman" w:hAnsi="Times New Roman"/>
                <w:sz w:val="24"/>
                <w:szCs w:val="24"/>
              </w:rPr>
              <w:t>Хмільниккомунсервіс</w:t>
            </w:r>
            <w:proofErr w:type="spellEnd"/>
            <w:r w:rsidR="001140FA" w:rsidRPr="008C444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1140FA">
              <w:rPr>
                <w:rFonts w:ascii="Times New Roman" w:hAnsi="Times New Roman"/>
                <w:sz w:val="24"/>
                <w:szCs w:val="24"/>
              </w:rPr>
              <w:t>Ю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 w:rsidR="001140FA">
              <w:rPr>
                <w:rFonts w:ascii="Times New Roman" w:hAnsi="Times New Roman"/>
                <w:sz w:val="24"/>
                <w:szCs w:val="24"/>
              </w:rPr>
              <w:t>І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.П</w:t>
            </w:r>
            <w:r w:rsidR="001140FA">
              <w:rPr>
                <w:rFonts w:ascii="Times New Roman" w:hAnsi="Times New Roman"/>
                <w:sz w:val="24"/>
                <w:szCs w:val="24"/>
              </w:rPr>
              <w:t>рокопович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Соколова-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Лозова-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Г.М.Бичок;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AC64B3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Кожухів-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С.Г.Остапчук;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Митник-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8C4443" w:rsidRDefault="00F327AB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Порик-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Маліновська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8C4443" w:rsidRDefault="00F327AB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Широка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Гребля-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М.О.Сухий;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Кривошиї-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Матвіюк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262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Хмільницького районного управління </w:t>
            </w:r>
            <w:proofErr w:type="spellStart"/>
            <w:r w:rsidR="00262562"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 w:rsidR="00262562">
              <w:rPr>
                <w:rFonts w:ascii="Times New Roman" w:hAnsi="Times New Roman"/>
                <w:sz w:val="24"/>
                <w:szCs w:val="24"/>
              </w:rPr>
              <w:t xml:space="preserve"> ГУ у Вінницькій </w:t>
            </w:r>
            <w:proofErr w:type="spellStart"/>
            <w:r w:rsidR="00262562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Грушко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72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Директор СО «Хмільницькі 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 «Вінницяобленерго»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Петровський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242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Ю.М.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Канарч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(0679798254)(за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242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Є.Г.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Голєв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 (0982577851).</w:t>
            </w:r>
          </w:p>
        </w:tc>
      </w:tr>
      <w:tr w:rsidR="001140FA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Додаток №2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0D41">
        <w:rPr>
          <w:rFonts w:ascii="Times New Roman" w:hAnsi="Times New Roman"/>
          <w:sz w:val="24"/>
          <w:szCs w:val="24"/>
        </w:rPr>
        <w:t xml:space="preserve">                          від 10 червня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140FA">
        <w:rPr>
          <w:rFonts w:ascii="Times New Roman" w:hAnsi="Times New Roman"/>
          <w:sz w:val="24"/>
          <w:szCs w:val="24"/>
        </w:rPr>
        <w:t>1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E30D41">
        <w:rPr>
          <w:rFonts w:ascii="Times New Roman" w:hAnsi="Times New Roman"/>
          <w:sz w:val="24"/>
          <w:szCs w:val="24"/>
        </w:rPr>
        <w:t>301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1140FA">
        <w:rPr>
          <w:rFonts w:ascii="Times New Roman" w:hAnsi="Times New Roman"/>
          <w:sz w:val="24"/>
          <w:szCs w:val="24"/>
          <w:lang w:val="uk-UA"/>
        </w:rPr>
        <w:t>1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1140FA">
        <w:rPr>
          <w:rFonts w:ascii="Times New Roman" w:hAnsi="Times New Roman"/>
          <w:sz w:val="24"/>
          <w:szCs w:val="24"/>
          <w:lang w:val="uk-UA"/>
        </w:rPr>
        <w:t>2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8"/>
        <w:gridCol w:w="65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3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6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насоса № 2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Монтаж частотного перетворювача та датчика тиску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4"/>
          </w:tcPr>
          <w:p w:rsidR="00580108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(майстерня)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42B35" w:rsidRPr="008C4443" w:rsidTr="00B41F8E">
        <w:trPr>
          <w:trHeight w:val="572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42B35" w:rsidRPr="008C4443" w:rsidTr="00B41F8E">
        <w:trPr>
          <w:trHeight w:val="47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242B35" w:rsidRPr="00242B35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242B35" w:rsidRPr="00242B35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242B35" w:rsidRPr="00242B35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242B35" w:rsidRP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242B35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B41F8E">
        <w:trPr>
          <w:trHeight w:val="237"/>
        </w:trPr>
        <w:tc>
          <w:tcPr>
            <w:tcW w:w="674" w:type="dxa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B41F8E">
        <w:trPr>
          <w:trHeight w:val="176"/>
        </w:trPr>
        <w:tc>
          <w:tcPr>
            <w:tcW w:w="674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4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стелі (фільтрувальний зал № 1)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B41F8E">
        <w:trPr>
          <w:trHeight w:val="225"/>
        </w:trPr>
        <w:tc>
          <w:tcPr>
            <w:tcW w:w="674" w:type="dxa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4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081749">
        <w:trPr>
          <w:trHeight w:val="664"/>
        </w:trPr>
        <w:tc>
          <w:tcPr>
            <w:tcW w:w="9889" w:type="dxa"/>
            <w:gridSpan w:val="16"/>
          </w:tcPr>
          <w:p w:rsid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частини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водопроводу по вул. Небесної Сотні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E87BF1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частини водопроводу по вул. </w:t>
            </w:r>
            <w:proofErr w:type="spellStart"/>
            <w:r w:rsidR="00E87BF1">
              <w:rPr>
                <w:rFonts w:ascii="Times New Roman" w:hAnsi="Times New Roman"/>
                <w:sz w:val="20"/>
                <w:szCs w:val="20"/>
                <w:lang w:val="uk-UA"/>
              </w:rPr>
              <w:t>Автодромна</w:t>
            </w:r>
            <w:proofErr w:type="spellEnd"/>
            <w:r w:rsidR="00E87B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Садовського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Промивка та хлорування водопровідних мереж міста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081749">
        <w:trPr>
          <w:trHeight w:val="513"/>
        </w:trPr>
        <w:tc>
          <w:tcPr>
            <w:tcW w:w="9889" w:type="dxa"/>
            <w:gridSpan w:val="16"/>
          </w:tcPr>
          <w:p w:rsidR="00242B35" w:rsidRDefault="00242B35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Побілка приміщень 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фундаментів будівель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42B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і підключення насоса ГНОМ 20/25 в насосній станції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E87BF1" w:rsidRPr="008C4443" w:rsidTr="00CC3FCE">
        <w:trPr>
          <w:trHeight w:val="501"/>
        </w:trPr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колодязя дренажних вод (мулові майданчики)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113A00" w:rsidP="00262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E87BF1" w:rsidRPr="008C4443" w:rsidTr="00D64A23">
        <w:trPr>
          <w:trHeight w:val="501"/>
        </w:trPr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побутових приміщень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E87BF1" w:rsidRPr="008C4443" w:rsidTr="00976D56">
        <w:trPr>
          <w:trHeight w:val="350"/>
        </w:trPr>
        <w:tc>
          <w:tcPr>
            <w:tcW w:w="9889" w:type="dxa"/>
            <w:gridSpan w:val="16"/>
          </w:tcPr>
          <w:p w:rsidR="00E87BF1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  <w:p w:rsidR="00E87BF1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87BF1" w:rsidRPr="008C4443" w:rsidTr="00D64A23">
        <w:trPr>
          <w:trHeight w:val="488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засувки Ø100мм на ВНС-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113A00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300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системи вентиляції КНС-1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301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450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9" w:type="dxa"/>
            <w:gridSpan w:val="2"/>
          </w:tcPr>
          <w:p w:rsidR="00E87BF1" w:rsidRPr="00B41F8E" w:rsidRDefault="00E87BF1" w:rsidP="00F4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350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B41F8E">
        <w:trPr>
          <w:trHeight w:val="494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563422">
        <w:trPr>
          <w:trHeight w:val="425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5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отмостки будівлі (КНС-1)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D14D93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90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563422">
        <w:trPr>
          <w:trHeight w:val="288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275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49" w:type="dxa"/>
            <w:gridSpan w:val="2"/>
          </w:tcPr>
          <w:p w:rsidR="00E87BF1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резервних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насосів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B41F8E">
        <w:trPr>
          <w:trHeight w:val="433"/>
        </w:trPr>
        <w:tc>
          <w:tcPr>
            <w:tcW w:w="9889" w:type="dxa"/>
            <w:gridSpan w:val="16"/>
          </w:tcPr>
          <w:p w:rsidR="00E87BF1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МЕРЕЖА КАНАЛІЗАЦІЇ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внутрішньодворової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мережі по вул. 1 Травня, </w:t>
            </w:r>
            <w:r w:rsidR="00D14D9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E87BF1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14D93" w:rsidRPr="008C4443" w:rsidTr="00B41F8E">
        <w:trPr>
          <w:trHeight w:val="946"/>
        </w:trPr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 по вул. Небесної Сотні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14D93" w:rsidRPr="008C4443" w:rsidTr="00081749">
        <w:trPr>
          <w:trHeight w:val="488"/>
        </w:trPr>
        <w:tc>
          <w:tcPr>
            <w:tcW w:w="9889" w:type="dxa"/>
            <w:gridSpan w:val="16"/>
          </w:tcPr>
          <w:p w:rsidR="00D14D93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Бетонування підлоги приміщень гаражів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акумуляторних батарей на автотранспорті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081749">
        <w:trPr>
          <w:trHeight w:val="438"/>
        </w:trPr>
        <w:tc>
          <w:tcPr>
            <w:tcW w:w="9889" w:type="dxa"/>
            <w:gridSpan w:val="16"/>
          </w:tcPr>
          <w:p w:rsidR="00D14D93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підйом, 2 підйом (станція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водопідготовки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11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Монтаж</w:t>
            </w:r>
            <w:r w:rsidR="00113A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сигналізації затоплення </w:t>
            </w:r>
            <w:proofErr w:type="spellStart"/>
            <w:r w:rsidR="00113A00">
              <w:rPr>
                <w:rFonts w:ascii="Times New Roman" w:hAnsi="Times New Roman"/>
                <w:sz w:val="20"/>
                <w:szCs w:val="20"/>
                <w:lang w:val="uk-UA"/>
              </w:rPr>
              <w:t>обєктів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D14D93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Монтаж захисту двигунів на станці</w:t>
            </w:r>
            <w:r w:rsidR="00113A00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 підготовки </w:t>
            </w:r>
          </w:p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(блок №1, 2)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113A00" w:rsidRPr="008C4443" w:rsidTr="00D64A23">
        <w:tc>
          <w:tcPr>
            <w:tcW w:w="674" w:type="dxa"/>
          </w:tcPr>
          <w:p w:rsidR="00113A00" w:rsidRPr="00B41F8E" w:rsidRDefault="00113A00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113A00" w:rsidRPr="00B41F8E" w:rsidRDefault="00113A00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АВР-0,4 (1,2 підйом, водопровідна станція)</w:t>
            </w:r>
          </w:p>
        </w:tc>
        <w:tc>
          <w:tcPr>
            <w:tcW w:w="1229" w:type="dxa"/>
            <w:gridSpan w:val="3"/>
          </w:tcPr>
          <w:p w:rsidR="00113A00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13A00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113A00" w:rsidRPr="008C4443" w:rsidTr="00D64A23">
        <w:tc>
          <w:tcPr>
            <w:tcW w:w="674" w:type="dxa"/>
          </w:tcPr>
          <w:p w:rsidR="00113A00" w:rsidRPr="00B41F8E" w:rsidRDefault="00113A00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:rsidR="00113A00" w:rsidRPr="00B41F8E" w:rsidRDefault="00113A00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резервування КЛ-0,4 (між 1 та 2 підйомом, станція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водопідготовки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29" w:type="dxa"/>
            <w:gridSpan w:val="3"/>
          </w:tcPr>
          <w:p w:rsidR="00113A00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113A00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7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E30D41">
        <w:rPr>
          <w:rFonts w:ascii="Times New Roman" w:hAnsi="Times New Roman"/>
          <w:sz w:val="24"/>
          <w:szCs w:val="24"/>
        </w:rPr>
        <w:t>10 червня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t>1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E30D41">
        <w:rPr>
          <w:rFonts w:ascii="Times New Roman" w:hAnsi="Times New Roman"/>
          <w:sz w:val="24"/>
          <w:szCs w:val="24"/>
        </w:rPr>
        <w:t>301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185242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22F">
        <w:rPr>
          <w:rFonts w:ascii="Times New Roman" w:hAnsi="Times New Roman"/>
          <w:color w:val="000000"/>
          <w:sz w:val="24"/>
          <w:szCs w:val="24"/>
        </w:rPr>
        <w:t xml:space="preserve">Поточного ремонту з </w:t>
      </w:r>
      <w:proofErr w:type="spellStart"/>
      <w:proofErr w:type="gramStart"/>
      <w:r w:rsidRPr="00D2122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122F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Хмільницька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ЖЕК»</w:t>
      </w:r>
      <w:r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робо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B86888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B86888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  <w:r w:rsidRPr="008C4443">
              <w:rPr>
                <w:sz w:val="22"/>
                <w:szCs w:val="22"/>
              </w:rPr>
              <w:t>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4173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5242">
              <w:rPr>
                <w:sz w:val="22"/>
                <w:szCs w:val="22"/>
              </w:rPr>
              <w:t>.м.</w:t>
            </w: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CB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1DB8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120м. парапет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слухові вікна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1DB8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220м. парапет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185242" w:rsidP="00710F71">
      <w:pPr>
        <w:pStyle w:val="Default"/>
        <w:jc w:val="center"/>
      </w:pPr>
      <w:r w:rsidRPr="00B00976">
        <w:t>Капітального ремонту об’єктів КП «Хмільницька ЖЕК» з підготовки до роботи в осінньо-зимовий період 20</w:t>
      </w:r>
      <w:r w:rsidR="006C0D74">
        <w:t>2</w:t>
      </w:r>
      <w:r w:rsidR="00B86888">
        <w:t>1</w:t>
      </w:r>
      <w:r w:rsidRPr="00B00976">
        <w:t>-20</w:t>
      </w:r>
      <w:r w:rsidR="008F34AC">
        <w:t>2</w:t>
      </w:r>
      <w:r w:rsidR="00B86888">
        <w:t>2</w:t>
      </w:r>
      <w:r w:rsidR="008F34AC">
        <w:t xml:space="preserve"> </w:t>
      </w:r>
      <w:r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E30D41">
        <w:rPr>
          <w:rFonts w:ascii="Times New Roman" w:hAnsi="Times New Roman"/>
          <w:sz w:val="24"/>
          <w:szCs w:val="24"/>
        </w:rPr>
        <w:t xml:space="preserve">10 червня 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E30D41">
        <w:rPr>
          <w:rFonts w:ascii="Times New Roman" w:hAnsi="Times New Roman"/>
          <w:sz w:val="24"/>
          <w:szCs w:val="24"/>
        </w:rPr>
        <w:t>301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B86888">
        <w:t>1</w:t>
      </w:r>
      <w:r>
        <w:t>-20</w:t>
      </w:r>
      <w:r w:rsidR="008F34AC">
        <w:t>2</w:t>
      </w:r>
      <w:r w:rsidR="00B86888">
        <w:t>2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661070" w:rsidP="00763CF9">
            <w:pPr>
              <w:pStyle w:val="Default"/>
              <w:jc w:val="center"/>
            </w:pPr>
            <w:r>
              <w:t>600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661070" w:rsidP="00763CF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9F7BD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</w:t>
            </w:r>
            <w:r w:rsidR="00185242" w:rsidRPr="00D54173">
              <w:rPr>
                <w:sz w:val="22"/>
                <w:szCs w:val="22"/>
              </w:rPr>
              <w:t>оловн</w:t>
            </w:r>
            <w:r w:rsidRPr="00D54173">
              <w:rPr>
                <w:sz w:val="22"/>
                <w:szCs w:val="22"/>
              </w:rPr>
              <w:t>ого</w:t>
            </w:r>
            <w:r w:rsidR="00185242" w:rsidRPr="00D54173">
              <w:rPr>
                <w:sz w:val="22"/>
                <w:szCs w:val="22"/>
              </w:rPr>
              <w:t xml:space="preserve"> інженер</w:t>
            </w:r>
            <w:r w:rsidRPr="00D54173">
              <w:rPr>
                <w:sz w:val="22"/>
                <w:szCs w:val="22"/>
              </w:rPr>
              <w:t>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proofErr w:type="spellStart"/>
            <w:r w:rsidRPr="004947C1">
              <w:t>Екскаватор»Борекс</w:t>
            </w:r>
            <w:proofErr w:type="spellEnd"/>
            <w:r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E30D41">
        <w:rPr>
          <w:rFonts w:ascii="Times New Roman" w:hAnsi="Times New Roman"/>
          <w:sz w:val="24"/>
          <w:szCs w:val="24"/>
        </w:rPr>
        <w:t xml:space="preserve">10 червня 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E30D41">
        <w:rPr>
          <w:rFonts w:ascii="Times New Roman" w:hAnsi="Times New Roman"/>
          <w:sz w:val="24"/>
          <w:szCs w:val="24"/>
        </w:rPr>
        <w:t>301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722747">
        <w:rPr>
          <w:rFonts w:ascii="Times New Roman" w:hAnsi="Times New Roman"/>
          <w:b/>
          <w:sz w:val="24"/>
          <w:szCs w:val="24"/>
        </w:rPr>
        <w:t>1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722747">
        <w:rPr>
          <w:rFonts w:ascii="Times New Roman" w:hAnsi="Times New Roman"/>
          <w:b/>
          <w:sz w:val="24"/>
          <w:szCs w:val="24"/>
        </w:rPr>
        <w:t>2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872236" w:rsidTr="00872236">
        <w:trPr>
          <w:trHeight w:val="26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872236" w:rsidTr="00872236">
        <w:trPr>
          <w:trHeight w:val="408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72236" w:rsidTr="00872236">
        <w:trPr>
          <w:trHeight w:val="250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72236" w:rsidTr="00872236">
        <w:trPr>
          <w:trHeight w:val="254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72236" w:rsidTr="00872236">
        <w:trPr>
          <w:trHeight w:val="242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72236" w:rsidTr="00872236">
        <w:trPr>
          <w:trHeight w:val="443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872236" w:rsidTr="00872236">
        <w:trPr>
          <w:trHeight w:val="526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872236" w:rsidTr="00872236">
        <w:trPr>
          <w:trHeight w:val="338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872236" w:rsidTr="00872236">
        <w:trPr>
          <w:trHeight w:val="388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872236" w:rsidTr="00872236">
        <w:trPr>
          <w:trHeight w:val="375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250789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  <w:lang w:val="uk-UA"/>
        </w:rPr>
      </w:pPr>
      <w:bookmarkStart w:id="0" w:name="_GoBack"/>
      <w:bookmarkEnd w:id="0"/>
    </w:p>
    <w:sectPr w:rsidR="00B86888" w:rsidRPr="00250789" w:rsidSect="00A85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71" w:rsidRDefault="003C2071" w:rsidP="00B43962">
      <w:pPr>
        <w:spacing w:after="0" w:line="240" w:lineRule="auto"/>
      </w:pPr>
      <w:r>
        <w:separator/>
      </w:r>
    </w:p>
  </w:endnote>
  <w:endnote w:type="continuationSeparator" w:id="0">
    <w:p w:rsidR="003C2071" w:rsidRDefault="003C2071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71" w:rsidRDefault="003C2071" w:rsidP="00B43962">
      <w:pPr>
        <w:spacing w:after="0" w:line="240" w:lineRule="auto"/>
      </w:pPr>
      <w:r>
        <w:separator/>
      </w:r>
    </w:p>
  </w:footnote>
  <w:footnote w:type="continuationSeparator" w:id="0">
    <w:p w:rsidR="003C2071" w:rsidRDefault="003C2071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35E45"/>
    <w:rsid w:val="000363DE"/>
    <w:rsid w:val="00040E06"/>
    <w:rsid w:val="00042716"/>
    <w:rsid w:val="000430F9"/>
    <w:rsid w:val="0005245A"/>
    <w:rsid w:val="000570D1"/>
    <w:rsid w:val="00073842"/>
    <w:rsid w:val="00077376"/>
    <w:rsid w:val="00081749"/>
    <w:rsid w:val="00081DB8"/>
    <w:rsid w:val="0009398C"/>
    <w:rsid w:val="00096B10"/>
    <w:rsid w:val="000A28DA"/>
    <w:rsid w:val="000B0793"/>
    <w:rsid w:val="000B0F31"/>
    <w:rsid w:val="000B4320"/>
    <w:rsid w:val="000C1367"/>
    <w:rsid w:val="000C6ACF"/>
    <w:rsid w:val="000D2B3F"/>
    <w:rsid w:val="000D3286"/>
    <w:rsid w:val="000E0060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6F2F"/>
    <w:rsid w:val="00147366"/>
    <w:rsid w:val="00151059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504E"/>
    <w:rsid w:val="00185242"/>
    <w:rsid w:val="001963D9"/>
    <w:rsid w:val="001A6707"/>
    <w:rsid w:val="001D0399"/>
    <w:rsid w:val="001F4EB2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814AF"/>
    <w:rsid w:val="00296275"/>
    <w:rsid w:val="002A4F37"/>
    <w:rsid w:val="002B0A38"/>
    <w:rsid w:val="002C05E9"/>
    <w:rsid w:val="002D0B4A"/>
    <w:rsid w:val="002E2EEE"/>
    <w:rsid w:val="002E4FDE"/>
    <w:rsid w:val="002E6328"/>
    <w:rsid w:val="002F3259"/>
    <w:rsid w:val="00313D38"/>
    <w:rsid w:val="00315209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2071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A0E40"/>
    <w:rsid w:val="004A702F"/>
    <w:rsid w:val="004A7A38"/>
    <w:rsid w:val="004B0545"/>
    <w:rsid w:val="004B23F6"/>
    <w:rsid w:val="004C58A7"/>
    <w:rsid w:val="004D28F7"/>
    <w:rsid w:val="004D50BD"/>
    <w:rsid w:val="004D692A"/>
    <w:rsid w:val="004E7041"/>
    <w:rsid w:val="004F3FC2"/>
    <w:rsid w:val="004F7DDA"/>
    <w:rsid w:val="00515D18"/>
    <w:rsid w:val="0051769D"/>
    <w:rsid w:val="00517842"/>
    <w:rsid w:val="00522034"/>
    <w:rsid w:val="005271A5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6B7F"/>
    <w:rsid w:val="005D7796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22D7"/>
    <w:rsid w:val="0065644C"/>
    <w:rsid w:val="00656528"/>
    <w:rsid w:val="00661070"/>
    <w:rsid w:val="00662C22"/>
    <w:rsid w:val="00664E23"/>
    <w:rsid w:val="00687E04"/>
    <w:rsid w:val="006A5E07"/>
    <w:rsid w:val="006B7324"/>
    <w:rsid w:val="006C0D74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2A9F"/>
    <w:rsid w:val="007435F2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3C1D"/>
    <w:rsid w:val="00776E4C"/>
    <w:rsid w:val="0078308C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45E24"/>
    <w:rsid w:val="008509F5"/>
    <w:rsid w:val="008549B5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F53"/>
    <w:rsid w:val="008C1235"/>
    <w:rsid w:val="008C4443"/>
    <w:rsid w:val="008D55B1"/>
    <w:rsid w:val="008D7FFE"/>
    <w:rsid w:val="008F05E0"/>
    <w:rsid w:val="008F34AC"/>
    <w:rsid w:val="008F5AA3"/>
    <w:rsid w:val="00901C7C"/>
    <w:rsid w:val="00914EDD"/>
    <w:rsid w:val="00932F42"/>
    <w:rsid w:val="00933302"/>
    <w:rsid w:val="00933368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71EE"/>
    <w:rsid w:val="00AE1C45"/>
    <w:rsid w:val="00AE317E"/>
    <w:rsid w:val="00AE7F59"/>
    <w:rsid w:val="00AF32D0"/>
    <w:rsid w:val="00B00976"/>
    <w:rsid w:val="00B057D9"/>
    <w:rsid w:val="00B10C69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83B35"/>
    <w:rsid w:val="00D878FA"/>
    <w:rsid w:val="00DB73C8"/>
    <w:rsid w:val="00DD39DD"/>
    <w:rsid w:val="00DE2AA7"/>
    <w:rsid w:val="00DF59DA"/>
    <w:rsid w:val="00E04BAA"/>
    <w:rsid w:val="00E06755"/>
    <w:rsid w:val="00E26B03"/>
    <w:rsid w:val="00E30D41"/>
    <w:rsid w:val="00E338AB"/>
    <w:rsid w:val="00E61C24"/>
    <w:rsid w:val="00E708BB"/>
    <w:rsid w:val="00E8039A"/>
    <w:rsid w:val="00E82210"/>
    <w:rsid w:val="00E87BF1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BF17-A5B7-42FA-BE82-3EE3AA9C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2021-05-26T12:20:00Z</cp:lastPrinted>
  <dcterms:created xsi:type="dcterms:W3CDTF">2021-05-24T12:23:00Z</dcterms:created>
  <dcterms:modified xsi:type="dcterms:W3CDTF">2021-06-14T05:36:00Z</dcterms:modified>
</cp:coreProperties>
</file>