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3" w:rsidRPr="00275C43" w:rsidRDefault="000C5743" w:rsidP="000C574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75C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3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275C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43" w:rsidRPr="00275C43" w:rsidRDefault="000C5743" w:rsidP="000C57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УКРАЇНА</w:t>
      </w:r>
    </w:p>
    <w:p w:rsidR="000C5743" w:rsidRPr="00275C43" w:rsidRDefault="000C5743" w:rsidP="000C5743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sz w:val="28"/>
          <w:szCs w:val="28"/>
          <w:lang w:val="uk-UA" w:eastAsia="ru-RU"/>
        </w:rPr>
        <w:t xml:space="preserve">ХМІЛЬНИЦЬКА МІСЬКА РАДА </w:t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0C5743" w:rsidRPr="00275C43" w:rsidRDefault="000C5743" w:rsidP="000C574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0C5743" w:rsidRPr="00275C43" w:rsidRDefault="000C5743" w:rsidP="000C5743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 xml:space="preserve">    ВИКОНАВЧИЙ   КОМІТЕТ                           </w:t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0C5743" w:rsidRPr="00275C43" w:rsidRDefault="000C5743" w:rsidP="000C5743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РІШЕННЯ</w:t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0C5743" w:rsidRPr="00275C43" w:rsidRDefault="000C5743" w:rsidP="000C57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C43">
        <w:rPr>
          <w:rFonts w:ascii="Times New Roman" w:hAnsi="Times New Roman"/>
          <w:sz w:val="24"/>
          <w:szCs w:val="24"/>
          <w:lang w:val="uk-UA"/>
        </w:rPr>
        <w:t xml:space="preserve">від “__”  ________  </w:t>
      </w:r>
      <w:r w:rsidRPr="00275C43">
        <w:rPr>
          <w:rFonts w:ascii="Times New Roman" w:hAnsi="Times New Roman"/>
          <w:b/>
          <w:sz w:val="24"/>
          <w:szCs w:val="24"/>
          <w:lang w:val="uk-UA"/>
        </w:rPr>
        <w:t xml:space="preserve">2021р.                                                                                   </w:t>
      </w:r>
      <w:r w:rsidRPr="00275C43">
        <w:rPr>
          <w:rFonts w:ascii="Times New Roman" w:hAnsi="Times New Roman"/>
          <w:sz w:val="24"/>
          <w:szCs w:val="24"/>
          <w:lang w:val="uk-UA"/>
        </w:rPr>
        <w:t>№ ____</w:t>
      </w:r>
    </w:p>
    <w:p w:rsidR="000C5743" w:rsidRPr="00275C43" w:rsidRDefault="000C5743" w:rsidP="000C574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C5743" w:rsidRPr="00275C43" w:rsidRDefault="000C5743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Про реалізацію спільного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A1B06" w:rsidRDefault="000C5743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«Розвиток інструментів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civic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tech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в </w:t>
      </w:r>
    </w:p>
    <w:p w:rsidR="000C5743" w:rsidRPr="00275C43" w:rsidRDefault="008A1B06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Хмі</w:t>
      </w:r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>льницькiй</w:t>
      </w:r>
      <w:proofErr w:type="spellEnd"/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міській територіальній </w:t>
      </w:r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громаді» </w:t>
      </w:r>
    </w:p>
    <w:p w:rsidR="000C5743" w:rsidRPr="00275C43" w:rsidRDefault="000C5743" w:rsidP="000C57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C5743" w:rsidRPr="00275C43" w:rsidRDefault="000C5743" w:rsidP="000C5743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Для з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апровадження інноваційних механізмів участі громадян у вирішенні місцевих проблем, налагодження результативної співпраці громадян та органу місцевого самоврядування, активізації самоорганізації </w:t>
      </w:r>
      <w:r w:rsidR="000272FE">
        <w:rPr>
          <w:rFonts w:ascii="Times New Roman" w:hAnsi="Times New Roman"/>
          <w:sz w:val="28"/>
          <w:szCs w:val="28"/>
          <w:lang w:val="uk-UA"/>
        </w:rPr>
        <w:t>населення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Законами України «Про соціальний діалог в Україні», «Про громадські об’єднання», «Про органи самоорганізації населення», «Про доступ до публічної інформації», Указ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ами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Президента України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«Про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Національну стратегію</w:t>
      </w:r>
      <w:r w:rsidR="00B10AD7" w:rsidRPr="00B10AD7">
        <w:rPr>
          <w:rFonts w:ascii="Georgia" w:hAnsi="Georgia"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сприяння розвитку громадянського суспільства в Україні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2021-2026-роки»,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«Про першочергові завдання щодо впровадження новітніх інформаційних технологій»,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остановою Кабінету Міністрів України «Про забезпечення участі громадськості у формуванні та реалізації державної політики», розпорядженнями Кабінету Міністрів України «Про схвалення Концепції розвитку електронного урядування в Україні», «Про схвалення Стратегії розвитку інформаційного суспільства в Україні»,  відповідно до Меморандуму про взаєморозуміння між виконавчим комітетом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та МБО «Фонд Східна Європа» про взаєморозуміння та співпрацю щодо впровадження  «Єдиної платформи місцевої електронної демократії» «e-DEM»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громаді, а також на виконання заходів  спільного з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Хмільницькою районною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громадською організацією «ПРАВО»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Розвиток інструментів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civic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tech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Хмiльницькiй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861">
        <w:rPr>
          <w:rFonts w:ascii="Times New Roman" w:hAnsi="Times New Roman"/>
          <w:sz w:val="28"/>
          <w:szCs w:val="28"/>
          <w:lang w:val="uk-UA"/>
        </w:rPr>
        <w:t xml:space="preserve">міській територіальній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громаді», </w:t>
      </w:r>
      <w:r w:rsidR="000272FE">
        <w:rPr>
          <w:rFonts w:ascii="Times New Roman" w:hAnsi="Times New Roman"/>
          <w:sz w:val="28"/>
          <w:szCs w:val="28"/>
          <w:lang w:val="uk-UA"/>
        </w:rPr>
        <w:t xml:space="preserve">ст.59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="000272FE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акон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0272FE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 w:rsidR="000272F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иконавчий комітет </w:t>
      </w:r>
      <w:r w:rsidR="00F95FCA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sz w:val="28"/>
          <w:szCs w:val="28"/>
          <w:lang w:val="uk-UA"/>
        </w:rPr>
        <w:t>міської ради:</w:t>
      </w:r>
    </w:p>
    <w:p w:rsidR="000C5743" w:rsidRPr="00275C43" w:rsidRDefault="000C5743" w:rsidP="000C5743">
      <w:pPr>
        <w:ind w:right="3"/>
        <w:jc w:val="center"/>
        <w:rPr>
          <w:rFonts w:ascii="Times New Roman" w:hAnsi="Times New Roman"/>
          <w:bCs/>
          <w:color w:val="000000"/>
          <w:spacing w:val="60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pacing w:val="60"/>
          <w:sz w:val="28"/>
          <w:szCs w:val="28"/>
          <w:lang w:val="uk-UA"/>
        </w:rPr>
        <w:t>ВИРІШИВ:</w:t>
      </w:r>
    </w:p>
    <w:p w:rsidR="000C5743" w:rsidRPr="00275C43" w:rsidRDefault="000C5743" w:rsidP="00A41861">
      <w:pPr>
        <w:spacing w:after="12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Утворити робочу групу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з питань 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у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Хмільницькій міській територіальній громаді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(далі – Робоча група).</w:t>
      </w:r>
    </w:p>
    <w:p w:rsidR="000C5743" w:rsidRPr="00275C43" w:rsidRDefault="000C5743" w:rsidP="00A41861">
      <w:pPr>
        <w:spacing w:after="12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Затвердити персональний склад Робочої групи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додатком 1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Робочій групі забезпечити:</w:t>
      </w:r>
    </w:p>
    <w:p w:rsidR="000C5743" w:rsidRPr="00275C43" w:rsidRDefault="000C5743" w:rsidP="000C5743">
      <w:pPr>
        <w:ind w:left="709"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3.1.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Проведення засідання Робочої групи з розгляду поточних результатів, планів та інформації щодо ефективності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у Хмільницькій міській територіальній громаді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C5743" w:rsidRPr="00275C43" w:rsidRDefault="000C5743" w:rsidP="000C5743">
      <w:pPr>
        <w:ind w:left="709"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3.2.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Висвітлення інформації щодо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у Хмільницькій міській територіальній громаді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місцевих засобах масової інформації та на офіційному </w:t>
      </w:r>
      <w:proofErr w:type="spellStart"/>
      <w:r w:rsidR="008A1B06">
        <w:rPr>
          <w:rFonts w:ascii="Times New Roman" w:hAnsi="Times New Roman"/>
          <w:bCs/>
          <w:color w:val="000000"/>
          <w:sz w:val="28"/>
          <w:szCs w:val="28"/>
          <w:lang w:val="uk-UA"/>
        </w:rPr>
        <w:t>веб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сайті</w:t>
      </w:r>
      <w:proofErr w:type="spellEnd"/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Затвердити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Порядок роботи виконавчих органів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з повідомленнями, що надійшли через інтерактивн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з використанням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згідно з додатком 2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B6DB0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Визначити відповідальними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виконавчі органи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 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t>за роботу з інтерактивною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0B6DB0"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="000B6DB0"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4E7F6D">
        <w:rPr>
          <w:rFonts w:ascii="Times New Roman" w:hAnsi="Times New Roman"/>
          <w:sz w:val="28"/>
          <w:szCs w:val="28"/>
          <w:lang w:val="uk-UA"/>
        </w:rPr>
        <w:t>м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t>істо» (далі – Система)</w:t>
      </w:r>
      <w:r w:rsidR="000B6DB0">
        <w:rPr>
          <w:rFonts w:ascii="Times New Roman" w:hAnsi="Times New Roman"/>
          <w:sz w:val="28"/>
          <w:szCs w:val="28"/>
          <w:lang w:val="uk-UA"/>
        </w:rPr>
        <w:t xml:space="preserve"> згідно з додатком 3. </w:t>
      </w:r>
    </w:p>
    <w:p w:rsidR="000B6DB0" w:rsidRDefault="000B6DB0" w:rsidP="00877E60">
      <w:pPr>
        <w:spacing w:after="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9337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Виконавчим органам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комунальним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ам, відповідальним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за роботу з інтерактивною</w:t>
      </w:r>
      <w:r w:rsidRPr="00275C43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AB4D28"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>істо»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забезпечити:  </w:t>
      </w:r>
    </w:p>
    <w:p w:rsidR="000C5743" w:rsidRPr="00275C43" w:rsidRDefault="000B6DB0" w:rsidP="0087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0C5743" w:rsidRPr="00275C43">
        <w:rPr>
          <w:rFonts w:ascii="Times New Roman" w:hAnsi="Times New Roman"/>
          <w:sz w:val="28"/>
          <w:szCs w:val="28"/>
          <w:lang w:val="uk-UA"/>
        </w:rPr>
        <w:t>навчання відповідального працівника роботі з Системою;</w:t>
      </w:r>
    </w:p>
    <w:p w:rsidR="000C5743" w:rsidRPr="00275C43" w:rsidRDefault="000C5743" w:rsidP="0087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дотримання вимог Порядку роботи виконавчих органів </w:t>
      </w:r>
      <w:r w:rsidR="00F95FCA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sz w:val="28"/>
          <w:szCs w:val="28"/>
          <w:lang w:val="uk-UA"/>
        </w:rPr>
        <w:t>міської ради з пов</w:t>
      </w:r>
      <w:r w:rsidR="009F217B">
        <w:rPr>
          <w:rFonts w:ascii="Times New Roman" w:hAnsi="Times New Roman"/>
          <w:sz w:val="28"/>
          <w:szCs w:val="28"/>
          <w:lang w:val="uk-UA"/>
        </w:rPr>
        <w:t>ідомленнями, що надійшли через і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нтерактивну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веб-платформу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4E7F6D"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істо» з використанням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</w:p>
    <w:p w:rsidR="000C5743" w:rsidRPr="00275C43" w:rsidRDefault="000B6DB0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Визначити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відділ із забезпечення </w:t>
      </w:r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>діяльності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Центру надання адміністративних послуг </w:t>
      </w:r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proofErr w:type="spellStart"/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>м.Хмільнику</w:t>
      </w:r>
      <w:proofErr w:type="spellEnd"/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модератором Системи.</w:t>
      </w:r>
    </w:p>
    <w:p w:rsidR="000C5743" w:rsidRPr="00275C43" w:rsidRDefault="000B6DB0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Визначити Хмільницьку районну громадську організацію «ПРАВО» Органом контролю, який забезпечує контроль та координацію роботи виконавчих органів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877E60" w:rsidRPr="00A41861" w:rsidRDefault="00193376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Контроль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за виконання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цього рішення покласти </w:t>
      </w:r>
      <w:r w:rsidR="008A2789">
        <w:rPr>
          <w:rFonts w:ascii="Times New Roman" w:hAnsi="Times New Roman"/>
          <w:bCs/>
          <w:color w:val="000000"/>
          <w:sz w:val="28"/>
          <w:szCs w:val="28"/>
          <w:lang w:val="uk-UA"/>
        </w:rPr>
        <w:t>на керуючого справами виконавчого комітету Хмільницької міської ради та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252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заступників міського голови з питань діяльності виконавчих органів Хмільницької міської </w:t>
      </w:r>
      <w:r w:rsidR="008A2789">
        <w:rPr>
          <w:rFonts w:ascii="Times New Roman" w:hAnsi="Times New Roman"/>
          <w:bCs/>
          <w:color w:val="000000"/>
          <w:sz w:val="28"/>
          <w:szCs w:val="28"/>
          <w:lang w:val="uk-UA"/>
        </w:rPr>
        <w:t>ради</w:t>
      </w:r>
      <w:r w:rsidR="003252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41861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розподілом обов’язків.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Міський голова</w:t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Микола ЮРЧИШИН</w:t>
      </w:r>
    </w:p>
    <w:p w:rsidR="000C5743" w:rsidRPr="00275C43" w:rsidRDefault="00A41861" w:rsidP="00275C43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</w:t>
      </w:r>
      <w:r w:rsidR="00877E6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C5743" w:rsidRPr="00275C43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0C5743" w:rsidRPr="00275C43" w:rsidRDefault="000C5743" w:rsidP="00275C4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0C5743" w:rsidRPr="00275C43" w:rsidRDefault="00275C43" w:rsidP="000C57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743" w:rsidRPr="00275C43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</w:p>
    <w:p w:rsidR="000C5743" w:rsidRPr="00275C43" w:rsidRDefault="000C5743" w:rsidP="000C57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ab/>
        <w:t>від «___» _______ 2021 року № __</w:t>
      </w:r>
    </w:p>
    <w:p w:rsidR="000C5743" w:rsidRPr="00275C43" w:rsidRDefault="000C5743" w:rsidP="000C574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>СКЛАД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робочої групи з питань 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«Відкрите місто» у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Хмільницькій міській територіальній громаді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0C5743" w:rsidRPr="00275C43" w:rsidTr="00B132A2">
        <w:tc>
          <w:tcPr>
            <w:tcW w:w="3652" w:type="dxa"/>
          </w:tcPr>
          <w:p w:rsidR="000C5743" w:rsidRPr="00275C43" w:rsidRDefault="000C5743" w:rsidP="00F9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 </w:t>
            </w:r>
            <w:r w:rsidR="00F95FCA">
              <w:rPr>
                <w:rFonts w:ascii="Times New Roman" w:hAnsi="Times New Roman"/>
                <w:sz w:val="28"/>
                <w:szCs w:val="28"/>
                <w:lang w:val="uk-UA"/>
              </w:rPr>
              <w:t>МАТАШ</w:t>
            </w:r>
          </w:p>
        </w:tc>
        <w:tc>
          <w:tcPr>
            <w:tcW w:w="5954" w:type="dxa"/>
          </w:tcPr>
          <w:p w:rsidR="000C5743" w:rsidRPr="00275C43" w:rsidRDefault="00F95FCA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ради, голова робочої групи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</w:t>
            </w:r>
            <w:proofErr w:type="spellStart"/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ДОРОХ</w:t>
            </w:r>
            <w:proofErr w:type="spellEnd"/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A81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районної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організації «ПРАВО», співголова робочої групи (за згодою)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877E60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ДОЛЄ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ВИЧ </w:t>
            </w:r>
          </w:p>
        </w:tc>
        <w:tc>
          <w:tcPr>
            <w:tcW w:w="5954" w:type="dxa"/>
          </w:tcPr>
          <w:p w:rsidR="000C5743" w:rsidRPr="00275C43" w:rsidRDefault="000C5743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інформаційних технологій та електронного урядування</w:t>
            </w:r>
            <w:r w:rsidR="00F9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, секретар робочої групи.</w:t>
            </w:r>
          </w:p>
          <w:p w:rsidR="000C5743" w:rsidRPr="00275C43" w:rsidRDefault="000C5743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rPr>
          <w:trHeight w:val="288"/>
        </w:trPr>
        <w:tc>
          <w:tcPr>
            <w:tcW w:w="9606" w:type="dxa"/>
            <w:gridSpan w:val="2"/>
            <w:vAlign w:val="center"/>
          </w:tcPr>
          <w:p w:rsidR="000C5743" w:rsidRPr="00275C43" w:rsidRDefault="000C5743" w:rsidP="00E6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E65EFA" w:rsidRPr="00A81713" w:rsidRDefault="00E65EFA" w:rsidP="00E65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65EFA" w:rsidRPr="00275C43" w:rsidTr="00B132A2">
        <w:tc>
          <w:tcPr>
            <w:tcW w:w="3652" w:type="dxa"/>
          </w:tcPr>
          <w:p w:rsidR="00E65EFA" w:rsidRPr="00275C43" w:rsidRDefault="00E65EFA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МЕЛЬНИК</w:t>
            </w:r>
          </w:p>
          <w:p w:rsidR="00E65EFA" w:rsidRPr="00275C43" w:rsidRDefault="00E65EFA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E65EFA" w:rsidRPr="00275C43" w:rsidRDefault="00E65EFA" w:rsidP="00E65EFA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із забезпечення діяльності Центру надання адміністративних послуг у </w:t>
            </w:r>
            <w:r w:rsidR="00275C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м. Хмільнику.</w:t>
            </w:r>
          </w:p>
          <w:p w:rsidR="00E65EFA" w:rsidRPr="00275C43" w:rsidRDefault="00E65EFA" w:rsidP="00E65EFA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E65EFA">
        <w:trPr>
          <w:trHeight w:val="1109"/>
        </w:trPr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ind w:firstLine="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Наталія МАЗУР</w:t>
            </w:r>
          </w:p>
        </w:tc>
        <w:tc>
          <w:tcPr>
            <w:tcW w:w="5954" w:type="dxa"/>
          </w:tcPr>
          <w:p w:rsidR="000C5743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відділу інформаційної діяльності та комунікацій з громадськістю </w:t>
            </w:r>
            <w:r w:rsidR="00275C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A81713" w:rsidP="000C5743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БУЛИКОВА </w:t>
            </w:r>
          </w:p>
          <w:p w:rsidR="000C5743" w:rsidRPr="00275C43" w:rsidRDefault="000C5743" w:rsidP="000C5743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0C5743" w:rsidRPr="00275C43" w:rsidRDefault="00A81713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Хмільницької міської ради. 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ЧЕРНІЙ</w:t>
            </w: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0C5743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епутат Хмільницької міської ради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скликання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EFA" w:rsidRPr="00275C43" w:rsidTr="00E65EFA">
        <w:tc>
          <w:tcPr>
            <w:tcW w:w="3652" w:type="dxa"/>
          </w:tcPr>
          <w:p w:rsidR="00E65EFA" w:rsidRPr="00275C43" w:rsidRDefault="00877E60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ПЛ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АХОТНЮК</w:t>
            </w:r>
          </w:p>
        </w:tc>
        <w:tc>
          <w:tcPr>
            <w:tcW w:w="5954" w:type="dxa"/>
          </w:tcPr>
          <w:p w:rsidR="00E65EFA" w:rsidRPr="00275C43" w:rsidRDefault="00275C43" w:rsidP="00275C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громадської ради при виконавчому комітеті Хмільницької міської ради,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органу контролю, експерт громадської організації «ПРАВО»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згодою). </w:t>
            </w:r>
          </w:p>
        </w:tc>
      </w:tr>
    </w:tbl>
    <w:p w:rsidR="000C5743" w:rsidRPr="00B132A2" w:rsidRDefault="000C5743" w:rsidP="000C57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EFA" w:rsidRPr="00B132A2" w:rsidRDefault="00E65EFA" w:rsidP="000C5743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0C5743" w:rsidRPr="00B132A2" w:rsidRDefault="00E65EFA" w:rsidP="000C5743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  <w:t>Сергій МАТАШ</w:t>
      </w:r>
    </w:p>
    <w:p w:rsidR="00B132A2" w:rsidRPr="00275C43" w:rsidRDefault="00B132A2" w:rsidP="00B132A2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0B6DB0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B132A2" w:rsidRPr="00275C43" w:rsidRDefault="00B132A2" w:rsidP="00B132A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B132A2" w:rsidRPr="00275C43" w:rsidRDefault="00B132A2" w:rsidP="00B132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B132A2" w:rsidRPr="00275C43" w:rsidRDefault="00B132A2" w:rsidP="00B132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ab/>
        <w:t>від «___» _______ 2021 року № __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ПОРЯДОК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роботи виконавчих органів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з пов</w:t>
      </w:r>
      <w:r w:rsidR="009F217B">
        <w:rPr>
          <w:rFonts w:ascii="Times New Roman" w:hAnsi="Times New Roman"/>
          <w:bCs/>
          <w:color w:val="000000"/>
          <w:sz w:val="28"/>
          <w:szCs w:val="28"/>
          <w:lang w:val="uk-UA"/>
        </w:rPr>
        <w:t>ідомленнями,</w:t>
      </w:r>
      <w:r w:rsidR="009F217B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що надійшли через і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нтерактивну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веб-платформу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 xml:space="preserve">з використанням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pStyle w:val="a6"/>
        <w:numPr>
          <w:ilvl w:val="0"/>
          <w:numId w:val="20"/>
        </w:num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132A2">
        <w:rPr>
          <w:bCs/>
          <w:color w:val="000000"/>
          <w:sz w:val="28"/>
          <w:szCs w:val="28"/>
          <w:lang w:val="uk-UA"/>
        </w:rPr>
        <w:t>ЗАГАЛЬНІ ПОЛОЖЕННЯ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1.1. Інтерактивна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веб-платформа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з використанням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 (далі – Система) призначена для організації додаткових ефективних можливостей та ресурсів, спрямованих на вирішення актуальних проблем </w:t>
      </w:r>
      <w:r w:rsidR="0070398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</w:t>
      </w:r>
      <w:r w:rsidR="0070398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ької територіальної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громади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а саме: </w:t>
      </w:r>
    </w:p>
    <w:p w:rsidR="00B132A2" w:rsidRPr="00B132A2" w:rsidRDefault="009629EC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жителям </w:t>
      </w:r>
      <w:r w:rsidR="00A817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громади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– привертати увагу до актуальних проблем своїх громад;</w:t>
      </w:r>
    </w:p>
    <w:p w:rsidR="00B132A2" w:rsidRPr="00B132A2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міській раді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– оперативно реагувати на ці проблеми;</w:t>
      </w:r>
    </w:p>
    <w:p w:rsidR="00B132A2" w:rsidRPr="00B132A2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міській громаді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proofErr w:type="spellStart"/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місцевому бізнесу та інститутам громадського суспільства – планувати свої благодійні ініціативи та соціальні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>є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кти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, базуючись на потребах громад.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1.2. Порядок роботи виконавчих органів</w:t>
      </w:r>
      <w:r w:rsidR="00B10AD7" w:rsidRP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Хмільницької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 з Системою (далі – Порядок) встановлює загальні принципи функціонування і правила експлуатації Системи.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1.3. Робота з Системою здійснюється відповідно до Конституції України, Законів України «Про місцеве самоврядування в Україні», «Про соціальний діалог в Україні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»,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«Про громадські об’єднання», «Про органи самоорганізації населення», «Про доступ до публічної інформації», «Про захист персональних даних», Указів Президента України «Про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Національну стратегію</w:t>
      </w:r>
      <w:r w:rsidR="00B10AD7" w:rsidRPr="00B10AD7">
        <w:rPr>
          <w:rFonts w:ascii="Georgia" w:hAnsi="Georgia"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сприяння розвитку громадянського суспільства в Україні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2021-2026-роки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», «Про першочергові завдання щодо впровадження новітніх інформаційних технологій»,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останови Кабінету Міністрів України «Про забезпечення участі громадськості у формуванні та реалізації державної політики»,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озпоряджень Кабінету Міністрів України «Про схвалення Концепції розвитку електронного урядування в Україні», «Про схвалення Стратегії розвитку інформаційного суспільства в Україні» та цього Порядку.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2.1. Система є спеціаліз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ованим комунікаційним ресурсом у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мережі Інтернет, яка включає: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вебсайт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набір мобільних додатків і додаткових сервісів, функціонально орієнтованих на забезпечення публічної взаємодії виконавчих органів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ради, 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>жителів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громадських об’єднань та суб’єктів господарювання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процесі вирішення актуальних проблем громади.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2.2. Користувач – будь-який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>житель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який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зареєструвався в Системі.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міської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2.5. Модератор – представник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ради, якому у встановленому порядку надано доступ до Системи з відповідними правами.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фото-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відеоматеріали.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2.8. Виконавець – працівник виконавчого органу </w:t>
      </w:r>
      <w:r w:rsidR="002E0BA4">
        <w:rPr>
          <w:rFonts w:ascii="Times New Roman" w:hAnsi="Times New Roman"/>
          <w:bCs/>
          <w:color w:val="000000"/>
          <w:sz w:val="28"/>
          <w:szCs w:val="28"/>
          <w:lang w:val="uk-UA"/>
        </w:rPr>
        <w:t>Хмільницької</w:t>
      </w:r>
      <w:r w:rsidR="002E0BA4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ради, який визначений відповідальним за вирішення повідомлення від громадянина, що надійшло через Систему.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2.9. Орган контролю –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виконавчий орган Хмільницької міської ради або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громадська організація, на яку покладено функції контролю та координації роботи виконавчих органів 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2.11. Життєвий цикл повідомлення – усі можливі стани (статуси) Повідомлення в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Інтернет-сервісі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, а також встановлений порядок послідовної зміни цього стану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(статусу)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241532" w:rsidRPr="00B132A2" w:rsidRDefault="0024153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2.13 Електронна пошта Організації – це електронна пошта, що визначена для роботи з повідомленнями та зазначена в Системі. 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ВИДИ ТА КАТЕГОРІЇ ПРОБЛЕМ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назву;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текстовий опис проблеми;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докладені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фото-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відеоматеріали (за наявності);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координати проблемної ділянки на карті (якщо вказані користувачем).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Відкрита – проблема опублікована користувачем в Системі, не вирішена. Статусу «Відкрита» відповідає червоний колір при позначенні проблеми в Системі;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Прийнят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>а (в роботу) – одна або кілька О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B132A2" w:rsidRPr="00B132A2" w:rsidRDefault="00B132A2" w:rsidP="00BD1256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91"/>
      </w:tblGrid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(опублікована)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B132A2" w:rsidRPr="00715647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На підставі відповіді структурного підрозділу 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чи перевірки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розміщенням інформації на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сайті</w:t>
      </w:r>
      <w:proofErr w:type="spellEnd"/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Організації в Системі (електронному кабінеті).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ради:</w:t>
      </w:r>
    </w:p>
    <w:p w:rsidR="00B132A2" w:rsidRPr="00B132A2" w:rsidRDefault="00B132A2" w:rsidP="00B132A2">
      <w:pPr>
        <w:spacing w:after="0" w:line="240" w:lineRule="auto"/>
        <w:ind w:right="3"/>
        <w:jc w:val="right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(зразок)</w:t>
      </w:r>
    </w:p>
    <w:p w:rsidR="00B132A2" w:rsidRDefault="00B132A2" w:rsidP="00BD1256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D1256" w:rsidRPr="00B132A2" w:rsidRDefault="00BD1256" w:rsidP="00BD1256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D1256" w:rsidRPr="00B132A2" w:rsidSect="00B132A2">
          <w:pgSz w:w="11909" w:h="16834" w:code="9"/>
          <w:pgMar w:top="851" w:right="1134" w:bottom="851" w:left="1418" w:header="708" w:footer="70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637"/>
      </w:tblGrid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Місто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Сміття, нелегальні звалища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тротуарів і пішохідних доріжок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Погане освітлення пішохідних вулиць, парків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каналізаційний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будівництво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Незаконно встановлена рекламна конструкція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електромереж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вивіска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Вказівник вулиці в поганому стані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благоустрою паркових зон чи територій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розклеювання оголошень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Загроза падіння дерев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графіті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пляжу/водойми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Дороги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Яма на проїжджій частині/тротуарі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Погана якість дорожнього покриття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Неприбрана проїжджа частина/тротуар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Пошкоджений/неправильно встановлений дорожній знак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Нечитабельний дорожній знак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Протиріччя при встановленні дорожніх знаків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Несправний світлофор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Стерта/неправильна дорожня розмітка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 на проїжджій частині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недозволеному місці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Часті затори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Непрацююче освітлення на проїжджій частині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дорожнє огородження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Просадка люка/незакритий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Систематичне порушення ПДР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Відсутній перехід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Небезпечна ділянка, місце ДТП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Двір - Прибудинкова територія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 на прибудинковій території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Яма, вибоїна на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внутрішньодворових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проїздах і тротуарах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Відсутність/несправність освітлення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асфальтного покриття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Несправна/відсутня зливова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каналізація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Незавершені земляні роботи у дворі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газоні/проїжджій частині двору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Захоплення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паркувальних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Неприбраний сніг, ожеледь у дворі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Сніг/бурульки на дахах і дашках під'їздів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Дитячий майданчик в неналежному стані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Перекриття пожежних проїздів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вигулу тварин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огорож газонів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Громадський транспорт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перевезення пасажирів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Недотримання маршруту/графіка руху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споруди зупинки</w:t>
            </w:r>
          </w:p>
        </w:tc>
      </w:tr>
      <w:tr w:rsidR="00B132A2" w:rsidRPr="00715647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Бруд/сміття на зупинках громадського транспорту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Некоректна поведінка співробітників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Громадський транспорт. Інше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Безпека і Правопорядок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пожежної безпеки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Бездомні собаки або інші тварини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Покинута будівля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Небезпечне використання приміщень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громадських правопорушень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людини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Реклама і торгівля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рекламна конструкція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встановлення рекламної конструкції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Реклама на 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торгівля алкоголем і тютюном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Незаконний гральний заклад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Стихійна торгівля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санітарних вимог до організацій торгівлі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споживачів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Будинок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водопостачання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Неналежний стан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електропостачання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опалювальної системи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Неробочий ліфт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Поганий стан підвалів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загальний стан будинків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Будівельні майданчики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Виніс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бруду будівельним транспортом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Несвоєчасний вивіз будівельних відходів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будівельного майданчика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Несвоєчасне відновлення благоустрою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інформаційного щита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освітлення в нічний час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Зелені насадження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хворобами/шкідниками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зовнішніми впливами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Потрібний догляд за насадженнями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Необхідна посадка зелених насаджень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газону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</w:t>
            </w: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132A2" w:rsidRPr="00B132A2" w:rsidSect="00B132A2">
          <w:type w:val="continuous"/>
          <w:pgSz w:w="11909" w:h="16834" w:code="9"/>
          <w:pgMar w:top="851" w:right="1134" w:bottom="851" w:left="1418" w:header="708" w:footer="708" w:gutter="0"/>
          <w:cols w:num="2" w:space="720"/>
          <w:docGrid w:linePitch="360"/>
        </w:sect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132A2" w:rsidRPr="00B132A2" w:rsidSect="00B132A2">
          <w:type w:val="continuous"/>
          <w:pgSz w:w="11909" w:h="16834" w:code="9"/>
          <w:pgMar w:top="851" w:right="1134" w:bottom="851" w:left="1418" w:header="708" w:footer="708" w:gutter="0"/>
          <w:cols w:num="2" w:space="720"/>
          <w:docGrid w:linePitch="360"/>
        </w:sect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1792"/>
        <w:gridCol w:w="1008"/>
        <w:gridCol w:w="1106"/>
        <w:gridCol w:w="1228"/>
        <w:gridCol w:w="1559"/>
        <w:gridCol w:w="1448"/>
        <w:gridCol w:w="1234"/>
      </w:tblGrid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Категорія проблем / Орган влади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132A2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B132A2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агроекономічного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євро</w:t>
            </w:r>
            <w:proofErr w:type="gramEnd"/>
            <w:r w:rsidRPr="00B132A2">
              <w:rPr>
                <w:rFonts w:ascii="Times New Roman" w:hAnsi="Times New Roman"/>
                <w:sz w:val="28"/>
                <w:szCs w:val="28"/>
              </w:rPr>
              <w:t>інтеграції</w:t>
            </w:r>
            <w:proofErr w:type="spellEnd"/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>КП "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Хмільниккомунсервіс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>КП "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Хмільникводоканал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правоохоронними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органами</w:t>
            </w: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Місто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Сміття, нелегальні звалища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тротуарів і пішохідних доріжок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Погане освітлення пішохідних вулиць, парків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каналізаційний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будівництво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Незаконно встановлена рекламна конструкція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Неналежний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стан електромереж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вивіска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Вказівник вулиці в поганому стані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благоустрою паркових зон чи територій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розклеювання оголошень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Загроза падіння дерев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графіті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Благоустрій вулиць - Робота виконана з неналежною якістю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малих архітектурних форм/пам'ятників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пляжу/водойми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Дороги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Яма на проїжджій частині/тротуарі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Погана якість дорожнього покриття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Неприбрана проїжджа частина/тротуар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Пошкоджений/неправильно встановлений дорожній знак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Нечитабельний дорожній знак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Протиріччя при встановленні дорожніх знаків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Несправний світлофор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Стерта/неправильна дорожня розмітка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 на проїжджій частині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недозволеному місці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Часті затори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Непрацююче освітлення на проїжджій частині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дорожнє огородження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Пошкоджене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пристрій обмеження швидкості або руху транспорту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Просадка люка/незакритий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Систематичне порушення ПДР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Відсутній перехід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Небезпечна ділянка, місце ДТП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Двір - Прибудинкова територія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 на прибудинковій території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Яма, вибоїна на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внутрішньодворових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проїздах і тротуарах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Проблема з контейнерними майданчиками, скупчення сміття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Відсутність/несправність освітлення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Неналежний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стан асфальтного покриття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Несправна/відсутня зливова каналізація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Незавершені земляні роботи у дворі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газоні/проїжджій частині двору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Захоплення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паркувальних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Неприбраний сніг, ожеледь у дворі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Сніг/бурульки на дахах і дашках під'їздів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 на прибудинковій території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Дитячий майданчик в неналежному стані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Перекриття пожежних проїздів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вигулу тварин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Покинутий автомобіль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огорож газонів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Громадський транспорт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технічний/санітарний стан транспортного засобу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перевезення пасажирів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Недотримання маршруту/графіка руху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Брак одиниць транспорту/відсутність необхідного маршруту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споруди зупинки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715647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Пошкодження/відсутність вказівників маршрутів на зупинках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оголошення, напис, зображення на споруді зупинки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Бруд/сміття на зупинках громадського транспорту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Некоректна поведінка співробітник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Громадський транспорт. Інше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Безпека і Правопорядок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пожежної безпеки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незаконного проживання/перебування осіб без реєстрації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Бездомні собаки або інші тварини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Покинута будівля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Небезпечне використання приміщень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прибудова споруд / перепланування приміщень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громадських правопорушень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людини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Реклама і торгівля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рекламна конструкція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встановлення рекламної конструкції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Реклама на 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Незаконна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торгівля алкоголем і тютюном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6.5.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Незаконний гральний заклад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Стихійна торгівля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санітарних вимог до організацій торгівлі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споживачів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Будинок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водопостачання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електропостачання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опалювальної системи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Неробочий ліфт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Поганий стан підвалів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загальний стан будинків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Незадовільна робота обслуговуючих чи керуючих організацій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Будівельні майданчики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Незадовільний стан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тимчасової огорожі будівельного майданчика, відсутність будівельного паркану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Виніс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бруду будівельним транспортом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Несвоєчасний вивіз будівельних відходів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будівельного майданчика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Несвоєчасне відновлення благоустрою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інформаційного щита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освітлення в нічний час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Зелені насадження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хворобами/шкідниками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зовнішніми впливами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Потрібний догляд за насадженнями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Необхідна посадка зелених насаджень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газону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9.6.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4.1. Відповідальний працівник 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двічі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день переглядає визначену електронну пошту організації щодо наявності інформації про нове зареєстроване повідомлення (проблему),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що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належить до сфери відповідальності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«Відкриту» (приймає повідомлення в роботу) та зазначає інформацію стосовно виконавця.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</w:t>
      </w:r>
    </w:p>
    <w:p w:rsidR="0024153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4.4. Повідомлення в Системі повинно перейти у статус «Відкрита» протягом 3 робочих днів. </w:t>
      </w:r>
    </w:p>
    <w:p w:rsidR="00241532" w:rsidRDefault="00B132A2" w:rsidP="0024153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4.5. Виконавець зобов’язаний опрацювати прийняте повідомлення та впродовж 25 (двадцять п’ять) календарних днів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 моменту переходу повідомлення у статус «Відкрита», повідомити керівника, відповідального працівника Організації та орган контролю про результат вирішення проблеми.</w:t>
      </w:r>
      <w:r w:rsidR="00241532" w:rsidRP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4153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4.6. Відповідальний працівник зобов’язаний впродовж 5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(п’ять) календарних днів з моменту надходження інформації від виконавця повідомити в системі Користувача та змінити статус повідомлення в Системі на «Закрита».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 Якщо повідомлення перебуває в статусі «Закрита» протягом 20 днів, статус повідомлення автоматично змінюється на «Архівна».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 За результатами перевірки вирішення проблем модератор чи користувач можуть протягом 20 днів змінити статус повідомлення на «Відкрита» (повторно).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Організацією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піднятих у повідомленні проблем.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некоректну інформацію або таку, що не відповідає визначеним для Системи напрямами.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</w:t>
      </w:r>
      <w:r w:rsid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Технологічного опе</w:t>
      </w:r>
      <w:r w:rsidRP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ратора Системи  електронною поштою за адресою: </w:t>
      </w:r>
      <w:hyperlink r:id="rId8" w:history="1">
        <w:r w:rsidR="0076782A" w:rsidRPr="002B53CF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support@opencity.in.ua</w:t>
        </w:r>
      </w:hyperlink>
      <w:r w:rsid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A81713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5.4. Модератор на підставі інформації з Системи готує</w:t>
      </w:r>
      <w:r w:rsidR="00A81713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A81713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5.4.1. оперативну інформацію про повідомлення, які надійшли </w:t>
      </w:r>
      <w:r w:rsidR="007156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громадян через Систему, та передає їх у цей же день у паперовому вигляді заступнику/заступникам міського голови з питань діяльності виконавчих органів міської ради згідно з розподілом посадових обов’язків;</w:t>
      </w:r>
    </w:p>
    <w:p w:rsidR="00A81713" w:rsidRPr="00B132A2" w:rsidRDefault="00A81713" w:rsidP="00A81713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5.4.2  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щотижнево та щомісячно інформацію про ефективність вирішення проблем громади та ефективність роботи виконавчих органів </w:t>
      </w:r>
      <w:r w:rsidR="00836A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вирішення проблем, повідомлення,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які надійшли від громадян через Систему.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:rsid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0B6DB0" w:rsidRPr="00B132A2" w:rsidRDefault="000B6DB0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11329" w:rsidRPr="00B132A2" w:rsidRDefault="00511329" w:rsidP="00511329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511329" w:rsidRPr="00B132A2" w:rsidRDefault="00511329" w:rsidP="00511329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="00A81713">
        <w:rPr>
          <w:rFonts w:ascii="Times New Roman" w:hAnsi="Times New Roman"/>
          <w:b/>
          <w:iCs/>
          <w:sz w:val="28"/>
          <w:szCs w:val="28"/>
          <w:lang w:val="uk-UA"/>
        </w:rPr>
        <w:t xml:space="preserve">   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>Сергій МАТАШ</w:t>
      </w: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lang w:val="uk-UA"/>
        </w:rPr>
      </w:pPr>
      <w:r w:rsidRPr="005D2816">
        <w:rPr>
          <w:iCs/>
          <w:lang w:val="uk-UA"/>
        </w:rPr>
        <w:t xml:space="preserve">     </w:t>
      </w: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Default="00B132A2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A0127D" w:rsidRDefault="00A0127D" w:rsidP="00836A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1532" w:rsidRPr="00275C43" w:rsidRDefault="00241532" w:rsidP="00241532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241532" w:rsidRPr="00275C43" w:rsidRDefault="00241532" w:rsidP="0024153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241532" w:rsidRPr="00275C43" w:rsidRDefault="00241532" w:rsidP="002415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241532" w:rsidRDefault="00241532" w:rsidP="002415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ab/>
        <w:t>від «___» _______ 2021 року № __</w:t>
      </w:r>
    </w:p>
    <w:p w:rsidR="004E7F6D" w:rsidRPr="00275C43" w:rsidRDefault="004E7F6D" w:rsidP="002415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tbl>
      <w:tblPr>
        <w:tblpPr w:leftFromText="180" w:rightFromText="180" w:vertAnchor="page" w:horzAnchor="margin" w:tblpXSpec="center" w:tblpY="4456"/>
        <w:tblW w:w="1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843"/>
        <w:gridCol w:w="2268"/>
        <w:gridCol w:w="2410"/>
        <w:gridCol w:w="3651"/>
      </w:tblGrid>
      <w:tr w:rsidR="004E7F6D" w:rsidRPr="00A0127D" w:rsidTr="004E7F6D">
        <w:trPr>
          <w:trHeight w:val="765"/>
        </w:trPr>
        <w:tc>
          <w:tcPr>
            <w:tcW w:w="228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Відповідальний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структурний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ідрозділ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84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ІБ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Керівника</w:t>
            </w:r>
            <w:proofErr w:type="spellEnd"/>
          </w:p>
        </w:tc>
        <w:tc>
          <w:tcPr>
            <w:tcW w:w="2268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ІБ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відповідальної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241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3651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Служб. Телефон</w:t>
            </w:r>
          </w:p>
        </w:tc>
      </w:tr>
      <w:tr w:rsidR="004E7F6D" w:rsidRPr="00A0127D" w:rsidTr="004E7F6D">
        <w:trPr>
          <w:trHeight w:val="510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836A13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житлово-комунального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комунальної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власност</w:t>
            </w:r>
            <w:proofErr w:type="gram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</w:t>
            </w:r>
            <w:proofErr w:type="spellEnd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 xml:space="preserve"> Х</w:t>
            </w:r>
            <w:proofErr w:type="gramEnd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мільницької міської ради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Литвиненко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Інна Сергіївна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Шмаль</w:t>
            </w:r>
            <w:proofErr w:type="spellEnd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Олександр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Геннадійович 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ED2675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hyperlink r:id="rId9" w:anchor="sendmsg/f=to=EpDL9piDEXiDFhe_0p1b0gCDE4Ow9W8N" w:history="1">
              <w:r w:rsidR="004E7F6D" w:rsidRPr="00A0127D">
                <w:rPr>
                  <w:rStyle w:val="a7"/>
                  <w:rFonts w:ascii="Arial" w:hAnsi="Arial" w:cs="Arial"/>
                  <w:b/>
                  <w:bCs/>
                  <w:i w:val="0"/>
                  <w:iCs w:val="0"/>
                  <w:color w:val="72757E"/>
                  <w:sz w:val="16"/>
                  <w:szCs w:val="16"/>
                  <w:shd w:val="clear" w:color="auto" w:fill="FFFFFF"/>
                </w:rPr>
                <w:t>hmilnuk.ugkgtakv@ukr.net</w:t>
              </w:r>
            </w:hyperlink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2- 23-78 </w:t>
            </w:r>
          </w:p>
        </w:tc>
      </w:tr>
      <w:tr w:rsidR="004E7F6D" w:rsidRPr="00A0127D" w:rsidTr="004E7F6D">
        <w:trPr>
          <w:trHeight w:val="510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836A13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містобудування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архітектури</w:t>
            </w:r>
            <w:proofErr w:type="spellEnd"/>
            <w:proofErr w:type="gramStart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 xml:space="preserve">  Х</w:t>
            </w:r>
            <w:proofErr w:type="gramEnd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мільницької міської ради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Олійник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Олександр Анатолійович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Олійник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Олександр Анатолійович 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ED2675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hyperlink r:id="rId10" w:anchor="sendmsg/f=to=9hHLEWiDEDV5toCDE4Ow9W8N" w:history="1">
              <w:r w:rsidR="004E7F6D" w:rsidRPr="00A0127D">
                <w:rPr>
                  <w:rStyle w:val="a7"/>
                  <w:rFonts w:ascii="Arial" w:hAnsi="Arial" w:cs="Arial"/>
                  <w:b/>
                  <w:bCs/>
                  <w:i w:val="0"/>
                  <w:iCs w:val="0"/>
                  <w:color w:val="72757E"/>
                  <w:sz w:val="16"/>
                  <w:szCs w:val="16"/>
                  <w:shd w:val="clear" w:color="auto" w:fill="FFFFFF"/>
                </w:rPr>
                <w:t>olijnuk_oa@ukr.net</w:t>
              </w:r>
            </w:hyperlink>
            <w:r w:rsidR="004E7F6D" w:rsidRPr="00A0127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2-70-12</w:t>
            </w:r>
          </w:p>
        </w:tc>
      </w:tr>
      <w:tr w:rsidR="004E7F6D" w:rsidRPr="00A0127D" w:rsidTr="004E7F6D">
        <w:trPr>
          <w:trHeight w:val="510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агроекономічного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розвитку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євроінтеграц</w:t>
            </w:r>
            <w:proofErr w:type="gram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ії</w:t>
            </w:r>
            <w:proofErr w:type="spellEnd"/>
            <w:r w:rsidRPr="00A01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 xml:space="preserve"> Х</w:t>
            </w:r>
            <w:proofErr w:type="gramEnd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мільницької міської ради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Підвальнюк</w:t>
            </w:r>
            <w:proofErr w:type="spellEnd"/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Юрій Григорович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Драч Олена Миколаївна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Бугаєва</w:t>
            </w:r>
            <w:proofErr w:type="spellEnd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Оксана Петрівна 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economik_hm@ukr.net</w:t>
            </w:r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2-21-75</w:t>
            </w:r>
          </w:p>
        </w:tc>
      </w:tr>
      <w:tr w:rsidR="004E7F6D" w:rsidRPr="00A0127D" w:rsidTr="004E7F6D">
        <w:trPr>
          <w:trHeight w:val="765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F6D" w:rsidRPr="00836A13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Відділ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цивільного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захисту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оборонної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роботи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взаємодії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правоохоронними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органами</w:t>
            </w:r>
            <w:proofErr w:type="gramStart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 xml:space="preserve">  Х</w:t>
            </w:r>
            <w:proofErr w:type="gramEnd"/>
            <w:r w:rsidR="00836A13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мільницької міської ради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Коломійчук</w:t>
            </w:r>
            <w:proofErr w:type="spellEnd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Валерій Петрович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Ткач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Олександр Сергійович  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27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viddilczhm@gmail.com</w:t>
            </w:r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27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2-22-86</w:t>
            </w:r>
          </w:p>
        </w:tc>
      </w:tr>
      <w:tr w:rsidR="004E7F6D" w:rsidRPr="00A0127D" w:rsidTr="004E7F6D">
        <w:trPr>
          <w:trHeight w:val="255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 "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Хмільниккомунсервіс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Прокопович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Юрій Іванович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ED2675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hyperlink r:id="rId11" w:history="1">
              <w:r w:rsidR="004E7F6D" w:rsidRPr="00A0127D">
                <w:rPr>
                  <w:rStyle w:val="a5"/>
                  <w:sz w:val="16"/>
                  <w:szCs w:val="16"/>
                </w:rPr>
                <w:t>xm-komunservis@ukr.net</w:t>
              </w:r>
            </w:hyperlink>
            <w:r w:rsidR="004E7F6D" w:rsidRPr="00A0127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2-25-51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2-44-72</w:t>
            </w:r>
          </w:p>
        </w:tc>
      </w:tr>
      <w:tr w:rsidR="004E7F6D" w:rsidRPr="00A0127D" w:rsidTr="004E7F6D">
        <w:trPr>
          <w:trHeight w:val="255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 "</w:t>
            </w:r>
            <w:proofErr w:type="spellStart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Хмільникводоканал</w:t>
            </w:r>
            <w:proofErr w:type="spellEnd"/>
            <w:r w:rsidRPr="00A0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Бойко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Сергій Петрович 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Кадубський</w:t>
            </w:r>
            <w:proofErr w:type="spellEnd"/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Володимир Вікторович 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sz w:val="16"/>
                <w:szCs w:val="16"/>
                <w:lang w:val="uk-UA"/>
              </w:rPr>
              <w:t xml:space="preserve"> </w:t>
            </w:r>
            <w:hyperlink r:id="rId12" w:anchor="sendmsg/f=to=EpDL9PF5Fp170ueXnWic07" w:history="1">
              <w:r w:rsidRPr="00A0127D">
                <w:rPr>
                  <w:rStyle w:val="a7"/>
                  <w:rFonts w:ascii="Arial" w:hAnsi="Arial" w:cs="Arial"/>
                  <w:i w:val="0"/>
                  <w:iCs w:val="0"/>
                  <w:color w:val="72757E"/>
                  <w:sz w:val="16"/>
                  <w:szCs w:val="16"/>
                  <w:shd w:val="clear" w:color="auto" w:fill="FFFFFF"/>
                </w:rPr>
                <w:t>hmilvoda@ukr.net</w:t>
              </w:r>
            </w:hyperlink>
            <w:r w:rsidRPr="00A0127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7F6D" w:rsidRPr="00A0127D" w:rsidRDefault="004E7F6D" w:rsidP="004E7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0127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2-30-44</w:t>
            </w:r>
          </w:p>
        </w:tc>
      </w:tr>
    </w:tbl>
    <w:p w:rsidR="00241532" w:rsidRDefault="00241532" w:rsidP="00B132A2">
      <w:pPr>
        <w:spacing w:after="0" w:line="240" w:lineRule="auto"/>
        <w:rPr>
          <w:lang w:val="uk-UA"/>
        </w:rPr>
      </w:pPr>
    </w:p>
    <w:p w:rsidR="004E7F6D" w:rsidRDefault="004E7F6D" w:rsidP="00A81713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Структурні підрозділи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а, відповідальні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за роботу з інтерактивною</w:t>
      </w:r>
      <w:r w:rsidR="00836A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>істо»</w:t>
      </w:r>
    </w:p>
    <w:p w:rsidR="004E7F6D" w:rsidRDefault="004E7F6D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A81713" w:rsidRDefault="00A81713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6D0124" w:rsidRPr="00B132A2" w:rsidRDefault="006D0124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6D0124" w:rsidRPr="00B132A2" w:rsidRDefault="006D0124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  <w:t>Сергій МАТАШ</w:t>
      </w:r>
    </w:p>
    <w:p w:rsidR="006D0124" w:rsidRPr="005D2816" w:rsidRDefault="006D0124" w:rsidP="006D0124">
      <w:pPr>
        <w:spacing w:after="0" w:line="240" w:lineRule="auto"/>
        <w:ind w:right="3"/>
        <w:jc w:val="both"/>
        <w:rPr>
          <w:iCs/>
          <w:lang w:val="uk-UA"/>
        </w:rPr>
      </w:pPr>
      <w:r w:rsidRPr="005D2816">
        <w:rPr>
          <w:iCs/>
          <w:lang w:val="uk-UA"/>
        </w:rPr>
        <w:t xml:space="preserve">     </w:t>
      </w:r>
    </w:p>
    <w:p w:rsidR="006D0124" w:rsidRPr="005D2816" w:rsidRDefault="006D0124" w:rsidP="006D0124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sectPr w:rsidR="007037D6" w:rsidSect="000C57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3428"/>
    <w:multiLevelType w:val="hybridMultilevel"/>
    <w:tmpl w:val="8A4E62A4"/>
    <w:lvl w:ilvl="0" w:tplc="B42222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305F9"/>
    <w:multiLevelType w:val="hybridMultilevel"/>
    <w:tmpl w:val="D89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743"/>
    <w:rsid w:val="000272FE"/>
    <w:rsid w:val="00090940"/>
    <w:rsid w:val="000B6DB0"/>
    <w:rsid w:val="000C5743"/>
    <w:rsid w:val="000F78BE"/>
    <w:rsid w:val="001544F9"/>
    <w:rsid w:val="00193376"/>
    <w:rsid w:val="001A2B94"/>
    <w:rsid w:val="001F1C71"/>
    <w:rsid w:val="00241532"/>
    <w:rsid w:val="00275C43"/>
    <w:rsid w:val="002E0BA4"/>
    <w:rsid w:val="00310026"/>
    <w:rsid w:val="0032523E"/>
    <w:rsid w:val="00327844"/>
    <w:rsid w:val="00435234"/>
    <w:rsid w:val="004A4FA5"/>
    <w:rsid w:val="004C6FBE"/>
    <w:rsid w:val="004E7F6D"/>
    <w:rsid w:val="00511329"/>
    <w:rsid w:val="00513D19"/>
    <w:rsid w:val="00595CFA"/>
    <w:rsid w:val="005A53DE"/>
    <w:rsid w:val="005C3E3B"/>
    <w:rsid w:val="005D691F"/>
    <w:rsid w:val="006D0124"/>
    <w:rsid w:val="007037D6"/>
    <w:rsid w:val="00703984"/>
    <w:rsid w:val="00704236"/>
    <w:rsid w:val="00715647"/>
    <w:rsid w:val="0074623E"/>
    <w:rsid w:val="007520AE"/>
    <w:rsid w:val="0076782A"/>
    <w:rsid w:val="007819FE"/>
    <w:rsid w:val="007D2579"/>
    <w:rsid w:val="00836A13"/>
    <w:rsid w:val="00877E60"/>
    <w:rsid w:val="008A1B06"/>
    <w:rsid w:val="008A2789"/>
    <w:rsid w:val="008D1825"/>
    <w:rsid w:val="009364A4"/>
    <w:rsid w:val="009629EC"/>
    <w:rsid w:val="009F217B"/>
    <w:rsid w:val="00A0127D"/>
    <w:rsid w:val="00A41861"/>
    <w:rsid w:val="00A81713"/>
    <w:rsid w:val="00AB4D28"/>
    <w:rsid w:val="00B10AD7"/>
    <w:rsid w:val="00B132A2"/>
    <w:rsid w:val="00B23B6E"/>
    <w:rsid w:val="00BA591C"/>
    <w:rsid w:val="00BD1256"/>
    <w:rsid w:val="00C4435E"/>
    <w:rsid w:val="00C7068A"/>
    <w:rsid w:val="00C77486"/>
    <w:rsid w:val="00DA66B6"/>
    <w:rsid w:val="00E65EFA"/>
    <w:rsid w:val="00E80EB4"/>
    <w:rsid w:val="00EC608E"/>
    <w:rsid w:val="00ED2675"/>
    <w:rsid w:val="00EE74F4"/>
    <w:rsid w:val="00F73838"/>
    <w:rsid w:val="00F95FCA"/>
    <w:rsid w:val="00FD5F4C"/>
    <w:rsid w:val="00FE5F8F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B132A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132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B23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pencity.in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il.ukr.net/desk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xm-komunservis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ukr.net/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ukr.net/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F212-0585-47DB-A4BC-4A30486B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2021-10-13T05:40:00Z</cp:lastPrinted>
  <dcterms:created xsi:type="dcterms:W3CDTF">2021-10-13T05:42:00Z</dcterms:created>
  <dcterms:modified xsi:type="dcterms:W3CDTF">2021-10-13T08:25:00Z</dcterms:modified>
</cp:coreProperties>
</file>