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36" w:rsidRDefault="00AA0836" w:rsidP="00861034">
      <w:pPr>
        <w:tabs>
          <w:tab w:val="center" w:pos="2304"/>
        </w:tabs>
        <w:jc w:val="right"/>
        <w:rPr>
          <w:noProof/>
        </w:rPr>
      </w:pPr>
    </w:p>
    <w:p w:rsidR="000310E6" w:rsidRPr="0000627A" w:rsidRDefault="000310E6" w:rsidP="000310E6">
      <w:pPr>
        <w:pStyle w:val="11"/>
        <w:rPr>
          <w:b/>
          <w:bCs/>
          <w:lang w:val="uk-UA"/>
        </w:rPr>
      </w:pPr>
      <w:r>
        <w:rPr>
          <w:b/>
          <w:noProof/>
          <w:lang w:val="ru-RU"/>
        </w:rPr>
        <w:drawing>
          <wp:inline distT="0" distB="0" distL="0" distR="0">
            <wp:extent cx="472440" cy="678180"/>
            <wp:effectExtent l="0" t="0" r="3810" b="7620"/>
            <wp:docPr id="1823887255" name="Рисунок 182388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E6" w:rsidRPr="0000627A" w:rsidRDefault="000310E6" w:rsidP="000310E6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0627A">
        <w:rPr>
          <w:b/>
          <w:bCs/>
          <w:lang w:val="uk-UA"/>
        </w:rPr>
        <w:t>УКРАЇНА</w:t>
      </w:r>
    </w:p>
    <w:p w:rsidR="000310E6" w:rsidRPr="0000627A" w:rsidRDefault="000310E6" w:rsidP="000310E6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0627A">
        <w:rPr>
          <w:b/>
          <w:bCs/>
          <w:lang w:val="uk-UA"/>
        </w:rPr>
        <w:t>Хмільницька   міська    рада</w:t>
      </w:r>
    </w:p>
    <w:p w:rsidR="000310E6" w:rsidRPr="0000627A" w:rsidRDefault="000310E6" w:rsidP="000310E6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00627A">
        <w:rPr>
          <w:b/>
          <w:bCs/>
          <w:sz w:val="28"/>
          <w:szCs w:val="28"/>
          <w:lang w:val="uk-UA"/>
        </w:rPr>
        <w:t>Вінницької  області</w:t>
      </w:r>
    </w:p>
    <w:p w:rsidR="000310E6" w:rsidRPr="0000627A" w:rsidRDefault="000310E6" w:rsidP="000310E6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00627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0627A">
        <w:rPr>
          <w:b/>
          <w:bCs/>
          <w:sz w:val="28"/>
          <w:szCs w:val="28"/>
          <w:lang w:val="uk-UA"/>
        </w:rPr>
        <w:t>Н</w:t>
      </w:r>
      <w:proofErr w:type="spellEnd"/>
      <w:r w:rsidRPr="0000627A">
        <w:rPr>
          <w:b/>
          <w:bCs/>
          <w:sz w:val="28"/>
          <w:szCs w:val="28"/>
          <w:lang w:val="uk-UA"/>
        </w:rPr>
        <w:t xml:space="preserve"> Я № </w:t>
      </w:r>
      <w:r w:rsidR="00FC383E">
        <w:rPr>
          <w:b/>
          <w:bCs/>
          <w:sz w:val="28"/>
          <w:szCs w:val="28"/>
          <w:lang w:val="uk-UA"/>
        </w:rPr>
        <w:t>1901</w:t>
      </w:r>
    </w:p>
    <w:p w:rsidR="000310E6" w:rsidRPr="0000627A" w:rsidRDefault="000310E6" w:rsidP="000310E6">
      <w:pPr>
        <w:rPr>
          <w:sz w:val="28"/>
          <w:szCs w:val="28"/>
        </w:rPr>
      </w:pPr>
    </w:p>
    <w:p w:rsidR="00FC383E" w:rsidRDefault="000310E6" w:rsidP="000310E6">
      <w:pPr>
        <w:rPr>
          <w:bCs/>
          <w:sz w:val="28"/>
          <w:szCs w:val="28"/>
        </w:rPr>
      </w:pPr>
      <w:r w:rsidRPr="0000627A">
        <w:rPr>
          <w:bCs/>
          <w:sz w:val="28"/>
          <w:szCs w:val="28"/>
        </w:rPr>
        <w:t>від “</w:t>
      </w:r>
      <w:r w:rsidR="00FC383E">
        <w:rPr>
          <w:bCs/>
          <w:sz w:val="28"/>
          <w:szCs w:val="28"/>
        </w:rPr>
        <w:t>28</w:t>
      </w:r>
      <w:r w:rsidRPr="0000627A">
        <w:rPr>
          <w:bCs/>
          <w:sz w:val="28"/>
          <w:szCs w:val="28"/>
        </w:rPr>
        <w:t xml:space="preserve">” </w:t>
      </w:r>
      <w:r w:rsidR="00FC383E">
        <w:rPr>
          <w:bCs/>
          <w:sz w:val="28"/>
          <w:szCs w:val="28"/>
        </w:rPr>
        <w:t>липня</w:t>
      </w:r>
      <w:r w:rsidRPr="0000627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00627A">
        <w:rPr>
          <w:bCs/>
          <w:sz w:val="28"/>
          <w:szCs w:val="28"/>
        </w:rPr>
        <w:t xml:space="preserve"> року                               </w:t>
      </w:r>
      <w:r w:rsidR="00FC383E">
        <w:rPr>
          <w:bCs/>
          <w:sz w:val="28"/>
          <w:szCs w:val="28"/>
        </w:rPr>
        <w:tab/>
      </w:r>
      <w:r w:rsidR="00FC383E">
        <w:rPr>
          <w:bCs/>
          <w:sz w:val="28"/>
          <w:szCs w:val="28"/>
        </w:rPr>
        <w:tab/>
        <w:t xml:space="preserve">          45</w:t>
      </w:r>
      <w:r w:rsidRPr="0000627A">
        <w:rPr>
          <w:bCs/>
          <w:sz w:val="28"/>
          <w:szCs w:val="28"/>
        </w:rPr>
        <w:t xml:space="preserve"> сесія міської ради  </w:t>
      </w:r>
    </w:p>
    <w:p w:rsidR="000310E6" w:rsidRDefault="00FC383E" w:rsidP="00FC383E">
      <w:pPr>
        <w:ind w:left="77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310E6" w:rsidRPr="0000627A">
        <w:rPr>
          <w:bCs/>
          <w:sz w:val="28"/>
          <w:szCs w:val="28"/>
        </w:rPr>
        <w:t xml:space="preserve">8 скликання   </w:t>
      </w:r>
    </w:p>
    <w:p w:rsidR="000310E6" w:rsidRDefault="000310E6" w:rsidP="000310E6">
      <w:pPr>
        <w:rPr>
          <w:bCs/>
          <w:sz w:val="28"/>
          <w:szCs w:val="28"/>
        </w:rPr>
      </w:pP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Про внесення змін та доповнень до Порядку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використання коштів місцевого бюджету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Хмільницької міської територіальної громади,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передбачених на фінансування заходів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Програми розвитку житлово-комунального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господарства та благоустрою територій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населених пунктів Хмільницької міської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>територіальної громади на 2022-2026 роки,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затвердженого рішенням 20 сесії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 xml:space="preserve">Хмільницької міської  ради 8 скликання </w:t>
      </w:r>
    </w:p>
    <w:p w:rsidR="000310E6" w:rsidRPr="00337DD0" w:rsidRDefault="000310E6" w:rsidP="000310E6">
      <w:pPr>
        <w:rPr>
          <w:sz w:val="28"/>
          <w:szCs w:val="28"/>
        </w:rPr>
      </w:pPr>
      <w:r w:rsidRPr="00337DD0">
        <w:rPr>
          <w:sz w:val="28"/>
          <w:szCs w:val="28"/>
        </w:rPr>
        <w:t>від 01.10.2021 р. №776 (зі змінами)</w:t>
      </w:r>
    </w:p>
    <w:p w:rsidR="000310E6" w:rsidRDefault="000310E6" w:rsidP="000310E6">
      <w:pPr>
        <w:jc w:val="both"/>
        <w:rPr>
          <w:b/>
          <w:sz w:val="28"/>
          <w:szCs w:val="28"/>
        </w:rPr>
      </w:pPr>
    </w:p>
    <w:p w:rsidR="000310E6" w:rsidRDefault="000310E6" w:rsidP="0003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>
        <w:rPr>
          <w:sz w:val="28"/>
          <w:szCs w:val="28"/>
          <w:shd w:val="clear" w:color="auto" w:fill="FFFFFF"/>
        </w:rPr>
        <w:t>755 (зі змінами) та</w:t>
      </w:r>
      <w:r>
        <w:rPr>
          <w:sz w:val="28"/>
          <w:szCs w:val="28"/>
        </w:rPr>
        <w:t xml:space="preserve"> Бюджетного кодексу України, Закону України «Про державну допомогу суб’єктам господарювання»,  керуючись </w:t>
      </w:r>
      <w:r w:rsidRPr="007E383B">
        <w:rPr>
          <w:sz w:val="26"/>
          <w:szCs w:val="26"/>
        </w:rPr>
        <w:t xml:space="preserve">ст.ст.26, 59 </w:t>
      </w:r>
      <w:r>
        <w:rPr>
          <w:sz w:val="28"/>
          <w:szCs w:val="28"/>
        </w:rPr>
        <w:t xml:space="preserve">Закону України «Про місцеве самоврядування в Україні», міська рада </w:t>
      </w:r>
    </w:p>
    <w:p w:rsidR="000310E6" w:rsidRDefault="000310E6" w:rsidP="000310E6">
      <w:pPr>
        <w:jc w:val="center"/>
        <w:rPr>
          <w:b/>
          <w:sz w:val="28"/>
          <w:szCs w:val="28"/>
        </w:rPr>
      </w:pPr>
      <w:r w:rsidRPr="007E383B">
        <w:rPr>
          <w:b/>
          <w:sz w:val="26"/>
          <w:szCs w:val="26"/>
        </w:rPr>
        <w:t>В И Р І Ш И Л А:</w:t>
      </w:r>
    </w:p>
    <w:p w:rsidR="000310E6" w:rsidRPr="000A5691" w:rsidRDefault="000310E6" w:rsidP="000310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5691">
        <w:rPr>
          <w:sz w:val="28"/>
          <w:szCs w:val="28"/>
        </w:rPr>
        <w:t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 (зі змінами) (далі Порядок), а саме:</w:t>
      </w:r>
    </w:p>
    <w:p w:rsidR="000310E6" w:rsidRPr="000A5691" w:rsidRDefault="000310E6" w:rsidP="000310E6">
      <w:pPr>
        <w:jc w:val="center"/>
        <w:rPr>
          <w:b/>
          <w:sz w:val="28"/>
          <w:szCs w:val="28"/>
        </w:rPr>
      </w:pPr>
    </w:p>
    <w:p w:rsidR="000310E6" w:rsidRPr="000A5691" w:rsidRDefault="000310E6" w:rsidP="000310E6">
      <w:pPr>
        <w:ind w:left="709"/>
        <w:jc w:val="both"/>
        <w:rPr>
          <w:sz w:val="28"/>
          <w:szCs w:val="28"/>
        </w:rPr>
      </w:pPr>
      <w:r w:rsidRPr="000A5691">
        <w:rPr>
          <w:sz w:val="28"/>
          <w:szCs w:val="28"/>
        </w:rPr>
        <w:t xml:space="preserve">1.1. Доповнити  пункт 3 розділу І. </w:t>
      </w:r>
      <w:r>
        <w:rPr>
          <w:sz w:val="28"/>
          <w:szCs w:val="28"/>
        </w:rPr>
        <w:t>«</w:t>
      </w:r>
      <w:r w:rsidRPr="000A5691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0A5691">
        <w:rPr>
          <w:sz w:val="28"/>
          <w:szCs w:val="28"/>
        </w:rPr>
        <w:t xml:space="preserve"> підпунктом 1.12 та викласти у наступній редакції:</w:t>
      </w:r>
    </w:p>
    <w:p w:rsidR="000310E6" w:rsidRPr="000A5691" w:rsidRDefault="000310E6" w:rsidP="000310E6">
      <w:pPr>
        <w:ind w:firstLine="851"/>
        <w:jc w:val="both"/>
        <w:rPr>
          <w:sz w:val="28"/>
          <w:szCs w:val="28"/>
        </w:rPr>
      </w:pPr>
      <w:r w:rsidRPr="000A5691">
        <w:rPr>
          <w:b/>
          <w:sz w:val="28"/>
          <w:szCs w:val="28"/>
        </w:rPr>
        <w:lastRenderedPageBreak/>
        <w:t xml:space="preserve">« </w:t>
      </w:r>
      <w:r w:rsidRPr="000A5691">
        <w:rPr>
          <w:sz w:val="28"/>
          <w:szCs w:val="28"/>
        </w:rPr>
        <w:t>- п</w:t>
      </w:r>
      <w:r>
        <w:rPr>
          <w:sz w:val="28"/>
          <w:szCs w:val="28"/>
        </w:rPr>
        <w:t>.п</w:t>
      </w:r>
      <w:r w:rsidRPr="000A5691">
        <w:rPr>
          <w:sz w:val="28"/>
          <w:szCs w:val="28"/>
        </w:rPr>
        <w:t xml:space="preserve">.1.12. «Утримання дитячих майданчиків на території Хмільницької міської територіальної громади у належному санітарному стані». </w:t>
      </w:r>
    </w:p>
    <w:p w:rsidR="000310E6" w:rsidRPr="000A5691" w:rsidRDefault="000310E6" w:rsidP="000310E6">
      <w:pPr>
        <w:ind w:left="709"/>
        <w:jc w:val="both"/>
        <w:rPr>
          <w:i/>
          <w:sz w:val="28"/>
          <w:szCs w:val="28"/>
        </w:rPr>
      </w:pPr>
    </w:p>
    <w:p w:rsidR="000310E6" w:rsidRPr="000A5691" w:rsidRDefault="000310E6" w:rsidP="000310E6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0A5691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Pr="000A5691">
        <w:rPr>
          <w:sz w:val="28"/>
          <w:szCs w:val="28"/>
        </w:rPr>
        <w:t xml:space="preserve"> та доповнення </w:t>
      </w:r>
      <w:r w:rsidRPr="000A5691">
        <w:rPr>
          <w:bCs/>
          <w:sz w:val="28"/>
          <w:szCs w:val="28"/>
        </w:rPr>
        <w:t xml:space="preserve">пункту </w:t>
      </w:r>
      <w:r w:rsidRPr="000A5691">
        <w:rPr>
          <w:sz w:val="28"/>
          <w:szCs w:val="28"/>
        </w:rPr>
        <w:t xml:space="preserve">3 розділу І. </w:t>
      </w:r>
      <w:r>
        <w:rPr>
          <w:sz w:val="28"/>
          <w:szCs w:val="28"/>
        </w:rPr>
        <w:t>«</w:t>
      </w:r>
      <w:r w:rsidRPr="000A5691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0A5691">
        <w:rPr>
          <w:sz w:val="28"/>
          <w:szCs w:val="28"/>
        </w:rPr>
        <w:t xml:space="preserve"> Порядку в оригіналі  </w:t>
      </w:r>
      <w:r w:rsidRPr="000A5691">
        <w:rPr>
          <w:bCs/>
          <w:sz w:val="28"/>
          <w:szCs w:val="28"/>
        </w:rPr>
        <w:t xml:space="preserve">рішення </w:t>
      </w:r>
      <w:r w:rsidRPr="000A5691">
        <w:rPr>
          <w:sz w:val="28"/>
          <w:szCs w:val="28"/>
        </w:rPr>
        <w:t>20 сесії Хмільницької міської  ради 8 скликання від 01.10.2021 р. №776 (зі змінами)</w:t>
      </w:r>
      <w:r w:rsidRPr="000A5691">
        <w:rPr>
          <w:rStyle w:val="apple-converted-space"/>
          <w:sz w:val="28"/>
          <w:szCs w:val="28"/>
        </w:rPr>
        <w:t>.</w:t>
      </w:r>
    </w:p>
    <w:p w:rsidR="000310E6" w:rsidRDefault="000310E6" w:rsidP="000310E6">
      <w:pPr>
        <w:tabs>
          <w:tab w:val="left" w:pos="4307"/>
        </w:tabs>
        <w:ind w:left="450" w:hanging="2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310E6" w:rsidRPr="00C24428" w:rsidRDefault="000310E6" w:rsidP="000310E6">
      <w:pPr>
        <w:tabs>
          <w:tab w:val="left" w:pos="360"/>
        </w:tabs>
        <w:jc w:val="both"/>
        <w:rPr>
          <w:sz w:val="28"/>
          <w:szCs w:val="28"/>
        </w:rPr>
      </w:pPr>
      <w:r w:rsidRPr="00C24428">
        <w:rPr>
          <w:sz w:val="28"/>
          <w:szCs w:val="28"/>
        </w:rPr>
        <w:t xml:space="preserve">3. Контроль за виконанням цього рішення покласти на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C24428">
        <w:rPr>
          <w:sz w:val="28"/>
          <w:szCs w:val="28"/>
        </w:rPr>
        <w:t>Кондратовець</w:t>
      </w:r>
      <w:proofErr w:type="spellEnd"/>
      <w:r w:rsidRPr="00C24428">
        <w:rPr>
          <w:sz w:val="28"/>
          <w:szCs w:val="28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(голова Петровський М.К.).</w:t>
      </w:r>
    </w:p>
    <w:p w:rsidR="000310E6" w:rsidRDefault="000310E6" w:rsidP="000310E6">
      <w:pPr>
        <w:pStyle w:val="2"/>
        <w:ind w:left="0" w:right="-1"/>
        <w:jc w:val="both"/>
        <w:rPr>
          <w:sz w:val="28"/>
          <w:szCs w:val="28"/>
        </w:rPr>
      </w:pPr>
    </w:p>
    <w:p w:rsidR="000310E6" w:rsidRDefault="000310E6" w:rsidP="000310E6">
      <w:pPr>
        <w:jc w:val="both"/>
        <w:rPr>
          <w:sz w:val="28"/>
          <w:szCs w:val="28"/>
        </w:rPr>
      </w:pPr>
    </w:p>
    <w:p w:rsidR="000310E6" w:rsidRDefault="000310E6" w:rsidP="000310E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Міський голова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0310E6" w:rsidRDefault="000310E6" w:rsidP="000310E6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pStyle w:val="a3"/>
        <w:tabs>
          <w:tab w:val="left" w:pos="1080"/>
        </w:tabs>
        <w:rPr>
          <w:b/>
          <w:sz w:val="28"/>
          <w:szCs w:val="28"/>
          <w:lang w:val="uk-UA"/>
        </w:rPr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861034" w:rsidRDefault="00861034" w:rsidP="00861034">
      <w:pPr>
        <w:ind w:left="-108" w:right="-108"/>
        <w:jc w:val="center"/>
      </w:pPr>
    </w:p>
    <w:p w:rsidR="00C977DC" w:rsidRPr="00861034" w:rsidRDefault="00FC383E" w:rsidP="00861034"/>
    <w:sectPr w:rsidR="00C977DC" w:rsidRPr="00861034" w:rsidSect="00341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19"/>
    <w:rsid w:val="000310E6"/>
    <w:rsid w:val="002F58AE"/>
    <w:rsid w:val="00305D77"/>
    <w:rsid w:val="003413FA"/>
    <w:rsid w:val="003B6675"/>
    <w:rsid w:val="004800D6"/>
    <w:rsid w:val="00585419"/>
    <w:rsid w:val="005C63C7"/>
    <w:rsid w:val="006B5CA3"/>
    <w:rsid w:val="00861034"/>
    <w:rsid w:val="00893510"/>
    <w:rsid w:val="00AA0836"/>
    <w:rsid w:val="00D64E21"/>
    <w:rsid w:val="00EA7E26"/>
    <w:rsid w:val="00EC1142"/>
    <w:rsid w:val="00F85FFD"/>
    <w:rsid w:val="00FC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85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15</cp:revision>
  <cp:lastPrinted>2023-01-25T14:16:00Z</cp:lastPrinted>
  <dcterms:created xsi:type="dcterms:W3CDTF">2021-10-07T13:04:00Z</dcterms:created>
  <dcterms:modified xsi:type="dcterms:W3CDTF">2023-07-31T12:02:00Z</dcterms:modified>
</cp:coreProperties>
</file>