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BB45" w14:textId="77777777" w:rsidR="00B67140" w:rsidRDefault="00000000">
      <w:pPr>
        <w:tabs>
          <w:tab w:val="left" w:pos="-2410"/>
          <w:tab w:val="left" w:pos="-1985"/>
          <w:tab w:val="left" w:pos="-1843"/>
        </w:tabs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015CD7" wp14:editId="7F53AA39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>
        <w:pict w14:anchorId="47B65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3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690" w:dyaOrig="945" w14:anchorId="38804F15">
          <v:shape id="ole_rId3" o:spid="_x0000_i1025" type="#_x0000_t75" style="width:34.5pt;height:47.25pt;visibility:visible;mso-wrap-distance-right:0" o:ole="">
            <v:imagedata r:id="rId5" o:title=""/>
          </v:shape>
          <o:OLEObject Type="Embed" ProgID="Word.Picture.8" ShapeID="ole_rId3" DrawAspect="Content" ObjectID="_1805015083" r:id="rId6"/>
        </w:object>
      </w:r>
    </w:p>
    <w:p w14:paraId="2AE1484B" w14:textId="77777777" w:rsidR="00B67140" w:rsidRDefault="00000000">
      <w:pPr>
        <w:pStyle w:val="a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УКРАЇНА</w:t>
      </w:r>
    </w:p>
    <w:p w14:paraId="1F9F3366" w14:textId="77777777" w:rsidR="00B67140" w:rsidRDefault="00000000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ХМІЛЬНИЦЬКА МІСЬКА РАДА</w:t>
      </w:r>
    </w:p>
    <w:p w14:paraId="398394D7" w14:textId="77777777" w:rsidR="00B67140" w:rsidRDefault="00000000">
      <w:pPr>
        <w:pStyle w:val="4"/>
        <w:tabs>
          <w:tab w:val="center" w:pos="4819"/>
          <w:tab w:val="left" w:pos="8700"/>
        </w:tabs>
        <w:spacing w:before="0" w:after="0"/>
        <w:rPr>
          <w:b w:val="0"/>
          <w:lang w:val="uk-UA"/>
        </w:rPr>
      </w:pPr>
      <w:r>
        <w:rPr>
          <w:b w:val="0"/>
          <w:lang w:val="uk-UA"/>
        </w:rPr>
        <w:tab/>
        <w:t>ВІННИЦЬКОЇ ОБЛАСТІ</w:t>
      </w:r>
      <w:r>
        <w:rPr>
          <w:b w:val="0"/>
          <w:lang w:val="uk-UA"/>
        </w:rPr>
        <w:tab/>
      </w:r>
    </w:p>
    <w:p w14:paraId="07F1CC35" w14:textId="77777777" w:rsidR="00B67140" w:rsidRDefault="00000000">
      <w:pPr>
        <w:pStyle w:val="5"/>
        <w:spacing w:before="0" w:after="0"/>
        <w:jc w:val="center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Виконавчий комітет</w:t>
      </w:r>
    </w:p>
    <w:p w14:paraId="6233C766" w14:textId="77777777" w:rsidR="00B67140" w:rsidRDefault="00000000">
      <w:pPr>
        <w:pStyle w:val="6"/>
        <w:spacing w:before="0" w:after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РІШЕННЯ</w:t>
      </w:r>
    </w:p>
    <w:p w14:paraId="77756C18" w14:textId="77777777" w:rsidR="00B67140" w:rsidRDefault="00B67140">
      <w:pPr>
        <w:rPr>
          <w:lang w:val="uk-UA"/>
        </w:rPr>
      </w:pPr>
    </w:p>
    <w:tbl>
      <w:tblPr>
        <w:tblW w:w="8252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2"/>
      </w:tblGrid>
      <w:tr w:rsidR="00B67140" w:rsidRPr="0042461D" w14:paraId="4155F082" w14:textId="77777777">
        <w:trPr>
          <w:trHeight w:val="1132"/>
        </w:trPr>
        <w:tc>
          <w:tcPr>
            <w:tcW w:w="8252" w:type="dxa"/>
            <w:vAlign w:val="bottom"/>
          </w:tcPr>
          <w:tbl>
            <w:tblPr>
              <w:tblW w:w="7952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52"/>
            </w:tblGrid>
            <w:tr w:rsidR="00B67140" w:rsidRPr="0042461D" w14:paraId="143D536D" w14:textId="77777777">
              <w:trPr>
                <w:trHeight w:val="524"/>
              </w:trPr>
              <w:tc>
                <w:tcPr>
                  <w:tcW w:w="7952" w:type="dxa"/>
                  <w:vAlign w:val="bottom"/>
                </w:tcPr>
                <w:p w14:paraId="6EC0BEF7" w14:textId="77777777" w:rsidR="00B67140" w:rsidRDefault="00000000">
                  <w:pPr>
                    <w:rPr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iCs/>
                      <w:sz w:val="28"/>
                      <w:szCs w:val="28"/>
                      <w:lang w:val="uk-UA"/>
                    </w:rPr>
                    <w:t>Від 27.03.2025 року</w:t>
                  </w:r>
                  <w:r>
                    <w:rPr>
                      <w:iCs/>
                      <w:sz w:val="28"/>
                      <w:szCs w:val="28"/>
                      <w:lang w:val="uk-UA"/>
                    </w:rPr>
                    <w:tab/>
                    <w:t xml:space="preserve">                                                           №210</w:t>
                  </w:r>
                </w:p>
                <w:p w14:paraId="736AF972" w14:textId="77777777" w:rsidR="00B67140" w:rsidRDefault="00B67140">
                  <w:pP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  <w:p w14:paraId="69F08405" w14:textId="77777777" w:rsidR="00B67140" w:rsidRDefault="00B67140">
                  <w:pP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  <w:p w14:paraId="4B05AC87" w14:textId="77777777" w:rsidR="00B67140" w:rsidRDefault="00000000">
                  <w:pP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Про внесення пропозицій до </w:t>
                  </w:r>
                </w:p>
                <w:p w14:paraId="33B8826C" w14:textId="77777777" w:rsidR="00B67140" w:rsidRDefault="00000000">
                  <w:pP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Центральної виборчої комісії</w:t>
                  </w:r>
                </w:p>
                <w:p w14:paraId="487038BC" w14:textId="77777777" w:rsidR="00B67140" w:rsidRDefault="00000000">
                  <w:pPr>
                    <w:textAlignment w:val="baseline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щодо ліквідації виборчих дільниць  </w:t>
                  </w:r>
                </w:p>
              </w:tc>
            </w:tr>
            <w:tr w:rsidR="00B67140" w:rsidRPr="0042461D" w14:paraId="5A4B26FD" w14:textId="77777777">
              <w:trPr>
                <w:trHeight w:val="524"/>
              </w:trPr>
              <w:tc>
                <w:tcPr>
                  <w:tcW w:w="7952" w:type="dxa"/>
                  <w:vAlign w:val="bottom"/>
                </w:tcPr>
                <w:p w14:paraId="0FB628E2" w14:textId="77777777" w:rsidR="00B67140" w:rsidRDefault="00B67140">
                  <w:pPr>
                    <w:rPr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0239D4B" w14:textId="77777777" w:rsidR="00B67140" w:rsidRDefault="00B67140">
            <w:pPr>
              <w:rPr>
                <w:lang w:val="uk-UA" w:eastAsia="uk-UA"/>
              </w:rPr>
            </w:pPr>
          </w:p>
        </w:tc>
      </w:tr>
    </w:tbl>
    <w:p w14:paraId="18F86FCA" w14:textId="01F84523" w:rsidR="00B67140" w:rsidRDefault="00000000">
      <w:pPr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дотримання норм законодавства щодо гарантій та прав громадян на участь у виборах, враховуючи </w:t>
      </w:r>
      <w:r>
        <w:rPr>
          <w:sz w:val="28"/>
          <w:szCs w:val="28"/>
          <w:lang w:val="uk-UA" w:eastAsia="uk-UA"/>
        </w:rPr>
        <w:t xml:space="preserve">постанову Центральної виборчої комісії від 25 червня 2020 року №116 "Про Порядок утворення виборчих дільниць на постійній основі, їх тимчасового закриття, ліквідації та внесення змін до відомостей про утворені виборчі дільниці", </w:t>
      </w:r>
      <w:r>
        <w:rPr>
          <w:sz w:val="28"/>
          <w:szCs w:val="28"/>
          <w:lang w:val="uk-UA"/>
        </w:rPr>
        <w:t>беручи до уваги акти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обстежень технічного стану </w:t>
      </w:r>
      <w:r>
        <w:rPr>
          <w:sz w:val="28"/>
          <w:szCs w:val="28"/>
          <w:lang w:val="uk-UA" w:eastAsia="uk-UA"/>
        </w:rPr>
        <w:t>будівель, які знаходяться на території Хмільницької територіальної громади та перебувають у комунальній власності Хмільницької міської ради, затверджен</w:t>
      </w:r>
      <w:r w:rsidR="0042461D"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 xml:space="preserve"> рішенням виконавчого комітету Хмільницької міської ради від 27 березня 2025 року №209, у яких розміщені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приміщення для голосування та приміщення дільничних виборчих комісій звичайних виборчих дільниць № 050659 та № 050660, керуючись статтями 29, 40 та 59 Закону України "Про місцеве самоврядування в Україні", </w:t>
      </w:r>
      <w:r>
        <w:rPr>
          <w:sz w:val="28"/>
          <w:szCs w:val="28"/>
          <w:lang w:val="uk-UA"/>
        </w:rPr>
        <w:t>статтею 62 Виборчого кодексу України,</w:t>
      </w:r>
      <w:r>
        <w:rPr>
          <w:sz w:val="28"/>
          <w:szCs w:val="28"/>
          <w:lang w:val="uk-UA" w:eastAsia="uk-UA"/>
        </w:rPr>
        <w:t xml:space="preserve"> виконавчий комітет Хмільницької міської ради</w:t>
      </w:r>
      <w:r>
        <w:rPr>
          <w:sz w:val="28"/>
          <w:szCs w:val="28"/>
          <w:lang w:val="uk-UA"/>
        </w:rPr>
        <w:t xml:space="preserve"> </w:t>
      </w:r>
    </w:p>
    <w:p w14:paraId="0DE55394" w14:textId="77777777" w:rsidR="00B67140" w:rsidRDefault="00000000">
      <w:pPr>
        <w:jc w:val="center"/>
        <w:outlineLvl w:val="0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14:paraId="31C41B46" w14:textId="77777777" w:rsidR="00B67140" w:rsidRDefault="00B67140">
      <w:pPr>
        <w:jc w:val="both"/>
        <w:outlineLvl w:val="0"/>
        <w:rPr>
          <w:b/>
          <w:bCs/>
          <w:sz w:val="16"/>
          <w:szCs w:val="16"/>
          <w:lang w:val="uk-UA"/>
        </w:rPr>
      </w:pPr>
    </w:p>
    <w:p w14:paraId="4B572359" w14:textId="5F4B8B76" w:rsidR="00B67140" w:rsidRDefault="00000000">
      <w:pPr>
        <w:ind w:firstLine="708"/>
        <w:jc w:val="both"/>
        <w:textAlignment w:val="baseline"/>
        <w:rPr>
          <w:rFonts w:eastAsia="NSimSun" w:cs="Arial"/>
          <w:kern w:val="2"/>
          <w:sz w:val="28"/>
          <w:lang w:val="uk-UA" w:eastAsia="zh-CN" w:bidi="hi-IN"/>
        </w:rPr>
      </w:pPr>
      <w:r>
        <w:rPr>
          <w:rFonts w:eastAsia="NSimSun" w:cs="Arial"/>
          <w:kern w:val="2"/>
          <w:sz w:val="28"/>
          <w:lang w:val="uk-UA" w:eastAsia="zh-CN" w:bidi="hi-IN"/>
        </w:rPr>
        <w:t xml:space="preserve">1. У зв'язку з аварійним </w:t>
      </w:r>
      <w:r>
        <w:rPr>
          <w:sz w:val="28"/>
          <w:szCs w:val="28"/>
          <w:lang w:val="uk-UA" w:eastAsia="uk-UA"/>
        </w:rPr>
        <w:t xml:space="preserve">та незадовільним </w:t>
      </w:r>
      <w:r>
        <w:rPr>
          <w:sz w:val="28"/>
          <w:szCs w:val="28"/>
          <w:lang w:val="uk-UA"/>
        </w:rPr>
        <w:t xml:space="preserve">станом приміщення для голосування та приміщення дільничної виборчої комісії звичайної виборчої дільниці </w:t>
      </w:r>
      <w:r>
        <w:rPr>
          <w:sz w:val="28"/>
          <w:szCs w:val="28"/>
          <w:lang w:val="uk-UA" w:eastAsia="uk-UA"/>
        </w:rPr>
        <w:t>№ 050659 розташованої за адресою: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вул. Катерини Білокур, 9, с. Лука, Хмільницький р-н, Вінницька обл., 22359 у будівлі фельдшерського пункту, а також приміщення для голосування та приміщення дільничної виборчої комісії звичайної виборчої дільниці № 050660 </w:t>
      </w:r>
      <w:r w:rsidRPr="00D45CFA">
        <w:rPr>
          <w:sz w:val="28"/>
          <w:szCs w:val="28"/>
          <w:lang w:val="uk-UA" w:eastAsia="uk-UA"/>
        </w:rPr>
        <w:t>розташованої за адресою:</w:t>
      </w:r>
      <w:r w:rsidRPr="00D45CFA">
        <w:rPr>
          <w:lang w:val="uk-UA"/>
        </w:rPr>
        <w:t xml:space="preserve"> </w:t>
      </w:r>
      <w:r w:rsidR="00D45CFA" w:rsidRPr="00D45CFA">
        <w:rPr>
          <w:sz w:val="28"/>
          <w:szCs w:val="28"/>
          <w:lang w:val="uk-UA" w:eastAsia="uk-UA"/>
        </w:rPr>
        <w:t xml:space="preserve">вул.Шевченка, 25, с.Осічок, </w:t>
      </w:r>
      <w:r w:rsidRPr="00D45CFA">
        <w:rPr>
          <w:sz w:val="28"/>
          <w:szCs w:val="28"/>
          <w:lang w:val="uk-UA" w:eastAsia="uk-UA"/>
        </w:rPr>
        <w:t>Хмільницький р-н, Вінницька обл., 223</w:t>
      </w:r>
      <w:r w:rsidR="00D45CFA" w:rsidRPr="00D45CFA">
        <w:rPr>
          <w:sz w:val="28"/>
          <w:szCs w:val="28"/>
          <w:lang w:val="uk-UA" w:eastAsia="uk-UA"/>
        </w:rPr>
        <w:t>18</w:t>
      </w:r>
      <w:r>
        <w:rPr>
          <w:sz w:val="28"/>
          <w:szCs w:val="28"/>
          <w:lang w:val="uk-UA" w:eastAsia="uk-UA"/>
        </w:rPr>
        <w:t xml:space="preserve"> у будівлі школи</w:t>
      </w:r>
      <w:r>
        <w:rPr>
          <w:rFonts w:eastAsia="NSimSun" w:cs="Arial"/>
          <w:kern w:val="2"/>
          <w:sz w:val="28"/>
          <w:lang w:val="uk-UA" w:eastAsia="zh-CN" w:bidi="hi-IN"/>
        </w:rPr>
        <w:t>, які не підлягають ремонту (суттєве пошкодження стелі, стін, підлоги, покрівлі та вікон), відсутністю електропостачання, системи опалення та стаціонарного телефонного зв’язку, відсутністю на території населених пунктів</w:t>
      </w:r>
      <w:r>
        <w:rPr>
          <w:lang w:val="uk-UA"/>
        </w:rPr>
        <w:t xml:space="preserve"> </w:t>
      </w:r>
      <w:r>
        <w:rPr>
          <w:rFonts w:eastAsia="NSimSun" w:cs="Arial"/>
          <w:kern w:val="2"/>
          <w:sz w:val="28"/>
          <w:lang w:val="uk-UA" w:eastAsia="zh-CN" w:bidi="hi-IN"/>
        </w:rPr>
        <w:t xml:space="preserve">сіл Лука та Осічок альтернативних приміщень з необхідною кількістю кімнат відповідної площі придатних для відповідного використання для зміни місцезнаходження </w:t>
      </w:r>
      <w:r>
        <w:rPr>
          <w:rFonts w:eastAsia="NSimSun" w:cs="Arial"/>
          <w:kern w:val="2"/>
          <w:sz w:val="28"/>
          <w:lang w:val="uk-UA" w:eastAsia="zh-CN" w:bidi="hi-IN"/>
        </w:rPr>
        <w:lastRenderedPageBreak/>
        <w:t xml:space="preserve">виборчих дільниць, можливістю віднесення виборців до суміжних виборчих дільниць, а саме: </w:t>
      </w:r>
    </w:p>
    <w:p w14:paraId="68F3DBC8" w14:textId="77777777" w:rsidR="00B67140" w:rsidRDefault="00000000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виборців із звичайної виборчої дільниці № 050659 віднести до меж звичайної виборчої дільниці № 050658, </w:t>
      </w:r>
      <w:r>
        <w:rPr>
          <w:rFonts w:eastAsia="NSimSun" w:cs="Arial"/>
          <w:kern w:val="2"/>
          <w:sz w:val="28"/>
          <w:szCs w:val="28"/>
          <w:lang w:val="uk-UA" w:eastAsia="zh-CN" w:bidi="hi-IN"/>
        </w:rPr>
        <w:t>що розташована</w:t>
      </w:r>
      <w:r>
        <w:rPr>
          <w:sz w:val="28"/>
          <w:szCs w:val="28"/>
          <w:lang w:val="uk-UA" w:eastAsia="uk-UA"/>
        </w:rPr>
        <w:t xml:space="preserve"> за адресою: вул. Садова, 30, с. Іванівці Хмільницький р-н Вінницька обл.,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uk-UA"/>
        </w:rPr>
        <w:t>22311 у будівлі школи та знаходиться на відстані 3,5 км від звичайної виборчої дільниці №050659;</w:t>
      </w:r>
    </w:p>
    <w:p w14:paraId="6E436850" w14:textId="77777777" w:rsidR="00B67140" w:rsidRDefault="00000000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виборців із звичайної виборчої дільниці № 050660 віднести до меж звичайної виборчої дільниці № 050657, </w:t>
      </w:r>
      <w:r>
        <w:rPr>
          <w:rFonts w:eastAsia="NSimSun" w:cs="Arial"/>
          <w:kern w:val="2"/>
          <w:sz w:val="28"/>
          <w:szCs w:val="28"/>
          <w:lang w:val="uk-UA" w:eastAsia="zh-CN" w:bidi="hi-IN"/>
        </w:rPr>
        <w:t>що розташована</w:t>
      </w:r>
      <w:r>
        <w:rPr>
          <w:sz w:val="28"/>
          <w:szCs w:val="28"/>
          <w:lang w:val="uk-UA" w:eastAsia="uk-UA"/>
        </w:rPr>
        <w:t xml:space="preserve"> за адресою: вул. Героїв Крут, 5, с. Теси, Хмільницький р-н, Вінницька обл., 22371 у адміністративній будівлі та знаходиться на відстані 3,5 км від звичайної виборчої дільниці №050660;</w:t>
      </w:r>
    </w:p>
    <w:p w14:paraId="2B05AB0B" w14:textId="77777777" w:rsidR="00B67140" w:rsidRDefault="00000000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пропонуємо </w:t>
      </w:r>
      <w:r>
        <w:rPr>
          <w:rFonts w:eastAsia="NSimSun" w:cs="Arial"/>
          <w:kern w:val="2"/>
          <w:sz w:val="28"/>
          <w:szCs w:val="28"/>
          <w:lang w:val="uk-UA" w:eastAsia="zh-CN" w:bidi="hi-IN"/>
        </w:rPr>
        <w:t xml:space="preserve">звернутися до </w:t>
      </w:r>
      <w:r>
        <w:rPr>
          <w:sz w:val="28"/>
          <w:szCs w:val="28"/>
          <w:lang w:val="uk-UA" w:eastAsia="uk-UA"/>
        </w:rPr>
        <w:t xml:space="preserve">Центральної виборчої комісії </w:t>
      </w:r>
      <w:r>
        <w:rPr>
          <w:rFonts w:eastAsia="NSimSun" w:cs="Arial"/>
          <w:kern w:val="2"/>
          <w:sz w:val="28"/>
          <w:szCs w:val="28"/>
          <w:lang w:val="uk-UA" w:eastAsia="zh-CN" w:bidi="hi-IN"/>
        </w:rPr>
        <w:t xml:space="preserve">з поданням щодо </w:t>
      </w:r>
      <w:r>
        <w:rPr>
          <w:sz w:val="28"/>
          <w:szCs w:val="28"/>
          <w:lang w:val="uk-UA" w:eastAsia="uk-UA"/>
        </w:rPr>
        <w:t>ліквідації звичайних виборчих дільниць № 050659</w:t>
      </w:r>
      <w:r>
        <w:rPr>
          <w:rFonts w:eastAsia="NSimSun" w:cs="Arial"/>
          <w:kern w:val="2"/>
          <w:sz w:val="28"/>
          <w:lang w:val="uk-UA" w:eastAsia="zh-CN" w:bidi="hi-IN"/>
        </w:rPr>
        <w:t xml:space="preserve"> </w:t>
      </w:r>
      <w:r>
        <w:rPr>
          <w:sz w:val="28"/>
          <w:szCs w:val="28"/>
          <w:lang w:val="uk-UA" w:eastAsia="uk-UA"/>
        </w:rPr>
        <w:t xml:space="preserve">та № 050660, утворених на постійній основі, </w:t>
      </w:r>
      <w:r>
        <w:rPr>
          <w:rFonts w:eastAsia="NSimSun" w:cs="Arial"/>
          <w:kern w:val="2"/>
          <w:sz w:val="28"/>
          <w:lang w:val="uk-UA" w:eastAsia="zh-CN" w:bidi="hi-IN"/>
        </w:rPr>
        <w:t>шляхом їх приєднання до меж звичайних виборчих дільниць №</w:t>
      </w:r>
      <w:r>
        <w:rPr>
          <w:sz w:val="28"/>
          <w:szCs w:val="28"/>
          <w:lang w:val="uk-UA" w:eastAsia="uk-UA"/>
        </w:rPr>
        <w:t>050658 № 050657 (відповідно).</w:t>
      </w:r>
    </w:p>
    <w:p w14:paraId="137F80B8" w14:textId="77777777" w:rsidR="00B67140" w:rsidRDefault="00000000">
      <w:pPr>
        <w:ind w:firstLine="708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Начальнику відділу ведення Державного реєстру виборців Хмільницької міської ради (Могульському В.Е.) сформувати відповідне подання </w:t>
      </w:r>
      <w:r>
        <w:rPr>
          <w:rFonts w:eastAsia="NSimSun" w:cs="Arial"/>
          <w:kern w:val="2"/>
          <w:sz w:val="28"/>
          <w:lang w:val="uk-UA" w:eastAsia="zh-CN" w:bidi="hi-IN"/>
        </w:rPr>
        <w:t xml:space="preserve">до </w:t>
      </w:r>
      <w:r>
        <w:rPr>
          <w:sz w:val="28"/>
          <w:szCs w:val="28"/>
          <w:lang w:val="uk-UA" w:eastAsia="uk-UA"/>
        </w:rPr>
        <w:t>Центральної виборчої комісії.</w:t>
      </w:r>
    </w:p>
    <w:p w14:paraId="1D79BD68" w14:textId="77777777" w:rsidR="00B67140" w:rsidRDefault="0000000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3</w:t>
      </w:r>
      <w:r>
        <w:rPr>
          <w:rFonts w:eastAsia="Arial Unicode MS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Контроль за виконанням цього рішення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uk-UA"/>
        </w:rPr>
        <w:t>покласти на керуючого справами виконкому Хмільницької міської ради Маташа С.П.</w:t>
      </w:r>
    </w:p>
    <w:p w14:paraId="6263F8D9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304E9445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519AE312" w14:textId="77777777" w:rsidR="00B67140" w:rsidRDefault="00000000">
      <w:pPr>
        <w:pStyle w:val="a4"/>
        <w:ind w:firstLine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Міський голова </w:t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>Микола ЮРЧИШИН</w:t>
      </w:r>
    </w:p>
    <w:p w14:paraId="3E0618BC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0AEFAD0E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27CEB3E0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3FD75E49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4448DC0E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3A2ECE24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30A718BD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156CE673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0DD190D0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3BAD3688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7F11D75E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6A803ACA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545C4B25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73BBBCA1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044065CD" w14:textId="77777777" w:rsidR="00B67140" w:rsidRDefault="00B67140">
      <w:pPr>
        <w:pStyle w:val="a4"/>
        <w:ind w:firstLine="0"/>
        <w:rPr>
          <w:rFonts w:eastAsia="Arial Unicode MS"/>
          <w:b/>
          <w:sz w:val="28"/>
          <w:szCs w:val="28"/>
        </w:rPr>
      </w:pPr>
    </w:p>
    <w:p w14:paraId="358E1FF2" w14:textId="77777777" w:rsidR="00B67140" w:rsidRDefault="00B67140">
      <w:pPr>
        <w:ind w:firstLine="720"/>
        <w:jc w:val="right"/>
        <w:rPr>
          <w:lang w:val="uk-UA"/>
        </w:rPr>
      </w:pPr>
    </w:p>
    <w:p w14:paraId="286C62C7" w14:textId="77777777" w:rsidR="00B67140" w:rsidRDefault="00B67140">
      <w:pPr>
        <w:ind w:firstLine="720"/>
        <w:jc w:val="right"/>
        <w:rPr>
          <w:lang w:val="uk-UA"/>
        </w:rPr>
      </w:pPr>
    </w:p>
    <w:p w14:paraId="61163A4B" w14:textId="77777777" w:rsidR="00B67140" w:rsidRDefault="00B67140">
      <w:pPr>
        <w:ind w:firstLine="720"/>
        <w:jc w:val="right"/>
        <w:rPr>
          <w:lang w:val="uk-UA"/>
        </w:rPr>
      </w:pPr>
    </w:p>
    <w:p w14:paraId="2CC72C75" w14:textId="77777777" w:rsidR="00B67140" w:rsidRDefault="00B67140"/>
    <w:sectPr w:rsidR="00B6714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40"/>
    <w:rsid w:val="0042461D"/>
    <w:rsid w:val="009D7D19"/>
    <w:rsid w:val="00B67140"/>
    <w:rsid w:val="00BD5C7D"/>
    <w:rsid w:val="00C0219F"/>
    <w:rsid w:val="00D4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3BAB1"/>
  <w15:docId w15:val="{47E7C650-6638-457E-B22B-C39D5A1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3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3B48B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qFormat/>
    <w:rsid w:val="003B48B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qFormat/>
    <w:rsid w:val="003B48B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3B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qFormat/>
    <w:rsid w:val="003B48B4"/>
    <w:rPr>
      <w:sz w:val="32"/>
      <w:lang w:val="uk-UA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rsid w:val="003B48B4"/>
    <w:pPr>
      <w:ind w:firstLine="709"/>
    </w:pPr>
    <w:rPr>
      <w:lang w:val="uk-UA"/>
    </w:rPr>
  </w:style>
  <w:style w:type="paragraph" w:styleId="aa">
    <w:name w:val="List Paragraph"/>
    <w:basedOn w:val="a"/>
    <w:uiPriority w:val="34"/>
    <w:qFormat/>
    <w:rsid w:val="000D52AE"/>
    <w:pPr>
      <w:ind w:left="720"/>
      <w:contextualSpacing/>
    </w:p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2235</Words>
  <Characters>1275</Characters>
  <Application>Microsoft Office Word</Application>
  <DocSecurity>0</DocSecurity>
  <Lines>10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Стріганова Людмила Григорівна</dc:creator>
  <dc:description/>
  <cp:lastModifiedBy>Org403T</cp:lastModifiedBy>
  <cp:revision>7</cp:revision>
  <cp:lastPrinted>2025-04-01T11:18:00Z</cp:lastPrinted>
  <dcterms:created xsi:type="dcterms:W3CDTF">2025-03-31T13:49:00Z</dcterms:created>
  <dcterms:modified xsi:type="dcterms:W3CDTF">2025-04-01T09:18:00Z</dcterms:modified>
  <dc:language>uk-UA</dc:language>
</cp:coreProperties>
</file>