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776863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A4A9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1B5D7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13</w:t>
      </w:r>
      <w:r w:rsidR="006A4A9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27766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вересня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1B5D7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№454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9412F6" w:rsidRPr="00834198" w:rsidRDefault="009412F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 молоді та спорту Хмільницької міської ради </w:t>
      </w:r>
      <w:proofErr w:type="spellStart"/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 начальника у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праці та соціального захисту населення Хмільницької міської ради Тимошенко І.Я.,</w:t>
      </w:r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 начальника організаційного відділу Хмільницької міської ради </w:t>
      </w:r>
      <w:proofErr w:type="spellStart"/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 начальника у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ЖКГ та КВ Хміль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</w:t>
      </w:r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містобудування та архітектури Хмільницької міської ради Олійника О.А.</w:t>
      </w:r>
      <w:r w:rsidR="00372D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9412F6" w:rsidRPr="00C8787E" w:rsidRDefault="009412F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вересня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03"/>
        <w:gridCol w:w="22"/>
        <w:gridCol w:w="8"/>
        <w:gridCol w:w="5401"/>
      </w:tblGrid>
      <w:tr w:rsidR="006120C6" w:rsidRPr="00145892" w:rsidTr="009412F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</w:t>
            </w:r>
            <w:r w:rsidR="001458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асткове звільнення гр. М.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 від оплати за харчування дитини в Закладі дошкільної освіти №1 (ясла – садочок) «Пролісок» </w:t>
            </w:r>
            <w:proofErr w:type="spellStart"/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F56BB8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освіти,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молоді та спорту Хмільницької міської ради  </w:t>
            </w:r>
            <w:r w:rsidR="006120C6"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612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120C6"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12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RPr="00145892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</w:t>
            </w:r>
            <w:r w:rsidR="001458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С.П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від оплати за харчування дитин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в Закладі дошкільної освіти №5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(ясла – садочок) 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«Вишенька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6120C6" w:rsidRPr="00441F9F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F56BB8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освіти,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молоді та спорту Хмільницької міської ради</w:t>
            </w:r>
            <w:r w:rsidR="006A4A90"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120C6"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</w:tr>
      <w:tr w:rsidR="006120C6" w:rsidRPr="006A4A90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07394B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4A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</w:t>
            </w:r>
            <w:r w:rsidR="001458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Ж.П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від оплати за харчування дитин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в Закладі дошкільної освіти</w:t>
            </w:r>
            <w:r w:rsidR="006A4A90" w:rsidRP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(ясла – садочок) 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«Веселка» </w:t>
            </w:r>
            <w:proofErr w:type="spellStart"/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с.Соколова</w:t>
            </w:r>
            <w:proofErr w:type="spellEnd"/>
          </w:p>
        </w:tc>
      </w:tr>
      <w:tr w:rsidR="006120C6" w:rsidRPr="0007394B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D8683E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0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07394B" w:rsidRDefault="00F56BB8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освіти,</w:t>
            </w:r>
            <w:r w:rsidR="006A4A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A90"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молоді та спорту Хмільницької міської ради</w:t>
            </w:r>
            <w:r w:rsidR="006A4A90"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6120C6" w:rsidRPr="00145892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BD27B1" w:rsidRDefault="007B32A0" w:rsidP="00D7250E">
            <w:pPr>
              <w:pStyle w:val="1"/>
              <w:spacing w:before="0"/>
              <w:jc w:val="both"/>
              <w:textAlignment w:val="baseline"/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</w:pPr>
            <w:r w:rsidRPr="007B32A0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одному з батьків, вдовам/ вдівцям учасників антитерористичної операції, </w:t>
            </w:r>
            <w:proofErr w:type="spellStart"/>
            <w:r w:rsidRPr="007B32A0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>операції</w:t>
            </w:r>
            <w:proofErr w:type="spellEnd"/>
            <w:r w:rsidRPr="007B32A0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 xml:space="preserve"> об’єднаних сил, осіб, які брали участь у здійсненні заходів із забезпечення</w:t>
            </w:r>
            <w:r w:rsidR="00F56BB8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 xml:space="preserve"> </w:t>
            </w:r>
            <w:r w:rsidRPr="007B32A0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 xml:space="preserve">національної безпеки і оборони, відсічі і стримування збройної агресії Російської Федерації на території України та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антитерористичної операції, </w:t>
            </w:r>
            <w:proofErr w:type="spellStart"/>
            <w:r w:rsidRPr="007B32A0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>операції</w:t>
            </w:r>
            <w:proofErr w:type="spellEnd"/>
            <w:r w:rsidRPr="007B32A0">
              <w:rPr>
                <w:rFonts w:ascii="Bookman Old Style" w:eastAsia="Times New Roman" w:hAnsi="Bookman Old Style" w:cs="Times New Roman"/>
                <w:b w:val="0"/>
                <w:color w:val="222222"/>
                <w:kern w:val="36"/>
                <w:lang w:val="uk-UA" w:eastAsia="ru-RU"/>
              </w:rPr>
              <w:t xml:space="preserve"> об’єднаних сил, до Дня захисників та захисниць України</w:t>
            </w:r>
          </w:p>
        </w:tc>
      </w:tr>
      <w:tr w:rsidR="006120C6" w:rsidRPr="00441F9F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BD27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="00BD27B1"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27B1">
              <w:t xml:space="preserve"> </w:t>
            </w:r>
            <w:r w:rsidR="00BD27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27B1"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BD27B1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6120C6" w:rsidRPr="006A4A90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9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D27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соціальної послуги догляд вдома на безоплатній основі</w:t>
            </w:r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27B1" w:rsidRPr="00BD27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D563B8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3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6120C6" w:rsidRPr="00145892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3A3D5D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Хмільницької міської ради  №673 від 24.11.2022р. «Про погодження розміру батьківської плати за навчання </w:t>
            </w:r>
            <w:r w:rsid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учнів основного контингенту та груп, що працюють на засадах самоокупності на 2023рік КПНЗ Хмільницька школа мистецтв» (зі змінами)</w:t>
            </w:r>
          </w:p>
        </w:tc>
      </w:tr>
      <w:tr w:rsidR="006120C6" w:rsidRPr="003A3D5D" w:rsidTr="009412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ED0392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та туризму </w:t>
            </w:r>
            <w:r w:rsidRP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оренду приміщення великої зали Комунального закладу «Будинок культури» Хмільницької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5318DC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та туризму </w:t>
            </w:r>
            <w:r w:rsidRP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6120C6" w:rsidTr="009412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безоплатну передачу комунального майна з балансу КЗ  «Будинок культури» на баланс КЗ «Хмільницька публічна бібліотека»</w:t>
            </w:r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5318DC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та туризму </w:t>
            </w:r>
            <w:r w:rsidRP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6120C6" w:rsidRPr="006A4A90" w:rsidTr="009412F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надання дозволу на передачу в оренду частини приміщення Філії сільський клуб село Кривошиї, що перебуває на балансі КЗ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«Будинок культури»</w:t>
            </w:r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5318DC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та туризму </w:t>
            </w:r>
            <w:r w:rsidRPr="00ED03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6120C6" w:rsidRPr="006A4A90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2F756F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8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відзначення Подяками Хмільницького міського голови жителів Хмільницької міської територіальної громади до Дня рятівника</w:t>
            </w:r>
          </w:p>
        </w:tc>
      </w:tr>
      <w:tr w:rsidR="006120C6" w:rsidRPr="002F756F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E768A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6120C6"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="006120C6"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2F756F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</w:t>
            </w:r>
          </w:p>
        </w:tc>
      </w:tr>
      <w:tr w:rsidR="006120C6" w:rsidRPr="00145892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виконавчого комітету Хмільницької міської ради №485 від 07.09.2023 року «</w:t>
            </w:r>
            <w:r w:rsid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</w:t>
            </w:r>
            <w:r w:rsidR="00531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ільницького </w:t>
            </w:r>
            <w:r w:rsid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міського голови жителів Хмільницької громади з нагоди професійних свят»</w:t>
            </w:r>
          </w:p>
        </w:tc>
      </w:tr>
      <w:tr w:rsidR="006120C6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7250E"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7250E"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="00D7250E"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</w:t>
            </w:r>
          </w:p>
        </w:tc>
      </w:tr>
      <w:tr w:rsidR="006120C6" w:rsidRPr="00145892" w:rsidTr="009412F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CB3F7C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770136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 громади</w:t>
            </w:r>
          </w:p>
        </w:tc>
      </w:tr>
      <w:tr w:rsidR="00D7250E" w:rsidRPr="00D7250E" w:rsidTr="009412F6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9412F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ЖКГ та КВ Хмільницької міської ради</w:t>
            </w:r>
          </w:p>
        </w:tc>
      </w:tr>
      <w:tr w:rsidR="00D7250E" w:rsidRPr="00145892" w:rsidTr="009412F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9412F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 громади</w:t>
            </w:r>
          </w:p>
        </w:tc>
      </w:tr>
      <w:tr w:rsidR="00D7250E" w:rsidRPr="00D7250E" w:rsidTr="009412F6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9412F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</w:t>
            </w:r>
            <w:r w:rsidR="00C03A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 у</w:t>
            </w:r>
            <w:r w:rsid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ЖКГ та КВ Хмільницької міської ради</w:t>
            </w:r>
          </w:p>
        </w:tc>
      </w:tr>
      <w:tr w:rsidR="00D7250E" w:rsidRPr="00770136" w:rsidTr="009412F6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9412F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E" w:rsidRDefault="00D7250E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утворення архітектурно – містобудівної ради при управлінні містобудування та архітектури міської ради</w:t>
            </w:r>
          </w:p>
        </w:tc>
      </w:tr>
      <w:tr w:rsidR="006120C6" w:rsidRPr="00145892" w:rsidTr="009412F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CB3F7C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770136" w:rsidRDefault="006120C6" w:rsidP="00D725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D72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архітектури та містобудування </w:t>
            </w:r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9412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міської ради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FB2912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22E14" w:rsidRDefault="00522E14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22E14" w:rsidRDefault="00522E14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522E14" w:rsidRDefault="00522E1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120C6" w:rsidRDefault="006120C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816600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833FF" w:rsidRPr="00816600" w:rsidRDefault="009412F6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Белза</w:t>
      </w:r>
      <w:proofErr w:type="spellEnd"/>
    </w:p>
    <w:p w:rsidR="00930596" w:rsidRPr="00816600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1B5D7C" w:rsidRDefault="00A833FF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B44EBE" w:rsidRPr="001B5D7C" w:rsidSect="009412F6">
      <w:pgSz w:w="11906" w:h="16838"/>
      <w:pgMar w:top="567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45892"/>
    <w:rsid w:val="00182A9B"/>
    <w:rsid w:val="001915A6"/>
    <w:rsid w:val="001A6EC9"/>
    <w:rsid w:val="001B5D7C"/>
    <w:rsid w:val="001C1B53"/>
    <w:rsid w:val="001C1D7E"/>
    <w:rsid w:val="001F3A39"/>
    <w:rsid w:val="001F526E"/>
    <w:rsid w:val="001F672E"/>
    <w:rsid w:val="0021006A"/>
    <w:rsid w:val="0022534A"/>
    <w:rsid w:val="00233D60"/>
    <w:rsid w:val="00234263"/>
    <w:rsid w:val="00245F95"/>
    <w:rsid w:val="00251047"/>
    <w:rsid w:val="00260A09"/>
    <w:rsid w:val="00261104"/>
    <w:rsid w:val="00272021"/>
    <w:rsid w:val="00277660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2D31"/>
    <w:rsid w:val="00374624"/>
    <w:rsid w:val="00381986"/>
    <w:rsid w:val="0039458A"/>
    <w:rsid w:val="00394C74"/>
    <w:rsid w:val="003A3D5D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4978"/>
    <w:rsid w:val="0043467B"/>
    <w:rsid w:val="004465C1"/>
    <w:rsid w:val="00447266"/>
    <w:rsid w:val="00457AC8"/>
    <w:rsid w:val="004739F9"/>
    <w:rsid w:val="00484EB3"/>
    <w:rsid w:val="00485FB8"/>
    <w:rsid w:val="004974D5"/>
    <w:rsid w:val="004B0EE9"/>
    <w:rsid w:val="004B4487"/>
    <w:rsid w:val="004D72BB"/>
    <w:rsid w:val="00505D7A"/>
    <w:rsid w:val="00505F7E"/>
    <w:rsid w:val="00522E14"/>
    <w:rsid w:val="005318DC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60528B"/>
    <w:rsid w:val="006120C6"/>
    <w:rsid w:val="00615544"/>
    <w:rsid w:val="00617369"/>
    <w:rsid w:val="00673753"/>
    <w:rsid w:val="00673A14"/>
    <w:rsid w:val="0068690E"/>
    <w:rsid w:val="0069069E"/>
    <w:rsid w:val="006A4A90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B32A0"/>
    <w:rsid w:val="007D400A"/>
    <w:rsid w:val="007E5689"/>
    <w:rsid w:val="007F73CC"/>
    <w:rsid w:val="00810202"/>
    <w:rsid w:val="00816600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12F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27B1"/>
    <w:rsid w:val="00BD77F9"/>
    <w:rsid w:val="00C03A03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41B79"/>
    <w:rsid w:val="00D563B8"/>
    <w:rsid w:val="00D6561B"/>
    <w:rsid w:val="00D65E98"/>
    <w:rsid w:val="00D7250E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D0392"/>
    <w:rsid w:val="00EE5CF1"/>
    <w:rsid w:val="00F04386"/>
    <w:rsid w:val="00F11B79"/>
    <w:rsid w:val="00F11CEF"/>
    <w:rsid w:val="00F1253B"/>
    <w:rsid w:val="00F159D7"/>
    <w:rsid w:val="00F173C0"/>
    <w:rsid w:val="00F211B2"/>
    <w:rsid w:val="00F30125"/>
    <w:rsid w:val="00F566A8"/>
    <w:rsid w:val="00F56BB8"/>
    <w:rsid w:val="00F65C49"/>
    <w:rsid w:val="00F65D2B"/>
    <w:rsid w:val="00F6603E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7B3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7B3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6456-45CB-49C6-ADFF-3DA5C0AA8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8DF60-BE5C-494A-86DC-8A85FB7B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2023-09-13T11:31:00Z</cp:lastPrinted>
  <dcterms:created xsi:type="dcterms:W3CDTF">2023-09-06T07:22:00Z</dcterms:created>
  <dcterms:modified xsi:type="dcterms:W3CDTF">2023-10-02T13:17:00Z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