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5C" w:rsidRDefault="002F6D5C" w:rsidP="002F6D5C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F6D5C" w:rsidRDefault="002F6D5C" w:rsidP="002F6D5C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5C" w:rsidRDefault="002F6D5C" w:rsidP="002F6D5C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2F6D5C" w:rsidRDefault="002F6D5C" w:rsidP="002F6D5C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:rsidR="002F6D5C" w:rsidRDefault="002F6D5C" w:rsidP="002F6D5C">
      <w:pPr>
        <w:pStyle w:val="a3"/>
        <w:ind w:left="3540" w:hanging="35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УКРАЇНА</w:t>
      </w:r>
      <w:r>
        <w:rPr>
          <w:sz w:val="28"/>
          <w:szCs w:val="28"/>
        </w:rPr>
        <w:tab/>
      </w:r>
    </w:p>
    <w:p w:rsidR="002F6D5C" w:rsidRDefault="002F6D5C" w:rsidP="002F6D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ВІННИЦЬКОЇ ОБЛАСТІ</w:t>
      </w:r>
    </w:p>
    <w:p w:rsidR="002F6D5C" w:rsidRDefault="002F6D5C" w:rsidP="002F6D5C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 ХМІЛЬНИК</w:t>
      </w:r>
    </w:p>
    <w:p w:rsidR="002F6D5C" w:rsidRDefault="002F6D5C" w:rsidP="002F6D5C">
      <w:pPr>
        <w:pStyle w:val="1"/>
        <w:jc w:val="center"/>
        <w:rPr>
          <w:szCs w:val="28"/>
        </w:rPr>
      </w:pPr>
      <w:r>
        <w:rPr>
          <w:szCs w:val="28"/>
        </w:rPr>
        <w:t>РОЗПОРЯДЖЕННЯ</w:t>
      </w:r>
    </w:p>
    <w:p w:rsidR="002F6D5C" w:rsidRDefault="002F6D5C" w:rsidP="002F6D5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2F6D5C" w:rsidRDefault="002F6D5C" w:rsidP="002F6D5C">
      <w:pPr>
        <w:jc w:val="center"/>
        <w:rPr>
          <w:b/>
          <w:bCs/>
          <w:sz w:val="28"/>
          <w:szCs w:val="28"/>
          <w:lang w:val="uk-UA"/>
        </w:rPr>
      </w:pPr>
    </w:p>
    <w:p w:rsidR="002F6D5C" w:rsidRDefault="002F6D5C" w:rsidP="002F6D5C">
      <w:pPr>
        <w:ind w:firstLine="708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«17»  серпня   2023 року                                                              </w:t>
      </w:r>
      <w:r>
        <w:rPr>
          <w:sz w:val="28"/>
          <w:szCs w:val="28"/>
          <w:lang w:val="uk-UA"/>
        </w:rPr>
        <w:t>№ 409-р</w:t>
      </w:r>
    </w:p>
    <w:p w:rsidR="002F6D5C" w:rsidRDefault="002F6D5C" w:rsidP="002F6D5C">
      <w:pPr>
        <w:ind w:firstLine="708"/>
        <w:rPr>
          <w:sz w:val="28"/>
          <w:szCs w:val="28"/>
          <w:lang w:val="uk-UA"/>
        </w:rPr>
      </w:pPr>
    </w:p>
    <w:p w:rsidR="002F6D5C" w:rsidRDefault="002F6D5C" w:rsidP="002F6D5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експертну комісію </w:t>
      </w:r>
    </w:p>
    <w:p w:rsidR="002F6D5C" w:rsidRDefault="002F6D5C" w:rsidP="002F6D5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архівного відділу Хмільницької міської ради</w:t>
      </w:r>
    </w:p>
    <w:p w:rsidR="002F6D5C" w:rsidRDefault="002F6D5C" w:rsidP="002F6D5C">
      <w:pPr>
        <w:rPr>
          <w:sz w:val="28"/>
          <w:szCs w:val="28"/>
          <w:lang w:val="uk-UA"/>
        </w:rPr>
      </w:pPr>
    </w:p>
    <w:p w:rsidR="002F6D5C" w:rsidRDefault="002F6D5C" w:rsidP="002F6D5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        </w:t>
      </w:r>
      <w:r>
        <w:rPr>
          <w:sz w:val="28"/>
          <w:szCs w:val="28"/>
          <w:lang w:val="uk-UA" w:eastAsia="uk-UA"/>
        </w:rPr>
        <w:t xml:space="preserve"> Відповідно до Закону України «Про правовий режим воєнного стану»,  ст. ст. 16, 28 Закону України «Про Національний архівний фонд та архівні установи»,</w:t>
      </w:r>
      <w:r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 xml:space="preserve">постанови Кабінету Міністрів України від 08 серпня 2007 року </w:t>
      </w:r>
    </w:p>
    <w:p w:rsidR="002F6D5C" w:rsidRDefault="002F6D5C" w:rsidP="002F6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№ 1004 «Про проведення експертизи цінності документів», наказу Міністерства юстиції України від 19 червня 2013 року № 1226/5  «Про </w:t>
      </w:r>
      <w:r>
        <w:rPr>
          <w:bCs/>
          <w:sz w:val="28"/>
          <w:szCs w:val="28"/>
          <w:shd w:val="clear" w:color="auto" w:fill="FFFFFF"/>
          <w:lang w:val="uk-UA"/>
        </w:rPr>
        <w:t xml:space="preserve">затвердження Типового положення про експертну комісію архівного відділу районної, районної у мм. Києві і Севастополі державної адміністрації, міської ради», </w:t>
      </w:r>
      <w:r>
        <w:rPr>
          <w:sz w:val="28"/>
          <w:szCs w:val="28"/>
          <w:lang w:val="uk-UA" w:eastAsia="uk-UA"/>
        </w:rPr>
        <w:t xml:space="preserve">наказу Міністерства юстиції України від 15 травня 2023 року № 1884/5 «Про </w:t>
      </w:r>
      <w:r>
        <w:rPr>
          <w:bCs/>
          <w:sz w:val="28"/>
          <w:szCs w:val="28"/>
          <w:shd w:val="clear" w:color="auto" w:fill="FFFFFF"/>
          <w:lang w:val="uk-UA"/>
        </w:rPr>
        <w:t>внесення змін до Типового положення про експертну комісію архівного відділу районної, районної у мм. Києві і Севастополі державної адміністрації, міської ради», на виконання листа Державного архіву Вінницької області від 07.06.2023 року за № 01-28-34/3 «</w:t>
      </w:r>
      <w:r>
        <w:rPr>
          <w:sz w:val="28"/>
          <w:szCs w:val="28"/>
          <w:lang w:val="uk-UA"/>
        </w:rPr>
        <w:t>Щодо положень про експертні комісії архівних відділів райдержадміністрацій, міських (міст обласного значення), сільських та селищних рад (ОТГ),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</w:p>
    <w:p w:rsidR="002F6D5C" w:rsidRDefault="002F6D5C" w:rsidP="002F6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ст.ст.  42, 49 Закону України «Про місцеве самоврядування в Україні» :</w:t>
      </w:r>
    </w:p>
    <w:p w:rsidR="002F6D5C" w:rsidRDefault="002F6D5C" w:rsidP="002F6D5C">
      <w:pPr>
        <w:jc w:val="both"/>
        <w:rPr>
          <w:sz w:val="28"/>
          <w:szCs w:val="28"/>
          <w:lang w:val="uk-UA" w:eastAsia="uk-UA"/>
        </w:rPr>
      </w:pPr>
    </w:p>
    <w:p w:rsidR="002F6D5C" w:rsidRDefault="002F6D5C" w:rsidP="002F6D5C">
      <w:pPr>
        <w:numPr>
          <w:ilvl w:val="0"/>
          <w:numId w:val="1"/>
        </w:numPr>
        <w:suppressAutoHyphens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Затвердити Положення про експертну комісію архівного відділу Хмільницької міської ради  (додаток 1).</w:t>
      </w:r>
    </w:p>
    <w:p w:rsidR="002F6D5C" w:rsidRDefault="002F6D5C" w:rsidP="002F6D5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Утворити та затвердити склад експертної комісії архівного відділу Хмільницької міської ради  (додаток 2).</w:t>
      </w:r>
    </w:p>
    <w:p w:rsidR="002F6D5C" w:rsidRDefault="002F6D5C" w:rsidP="002F6D5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розпорядження міського голови від 01.02. 2017 року № 48-р «Про положення про експертну комісію архівного відділу Хмільницької міської ради».</w:t>
      </w:r>
    </w:p>
    <w:p w:rsidR="002F6D5C" w:rsidRDefault="002F6D5C" w:rsidP="002F6D5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Архівному відділу Хмільницької міської ради у документах постійного зберігання зазначити факт та підставу втрати чинності розпорядження міського голови від 01.02. 2017 року № 48-р «Про положення про експертну комісію архівного відділу Хмільницької міської ради».</w:t>
      </w:r>
    </w:p>
    <w:p w:rsidR="002F6D5C" w:rsidRDefault="002F6D5C" w:rsidP="002F6D5C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покласти на керуючого справами виконкому міської ради Сергія  МАТАША.</w:t>
      </w:r>
    </w:p>
    <w:p w:rsidR="002F6D5C" w:rsidRDefault="002F6D5C" w:rsidP="002F6D5C">
      <w:pPr>
        <w:ind w:left="360"/>
        <w:jc w:val="both"/>
        <w:rPr>
          <w:b/>
          <w:sz w:val="28"/>
          <w:szCs w:val="28"/>
          <w:lang w:val="uk-UA"/>
        </w:rPr>
      </w:pPr>
    </w:p>
    <w:p w:rsidR="002F6D5C" w:rsidRDefault="002F6D5C" w:rsidP="002F6D5C">
      <w:pPr>
        <w:ind w:left="360"/>
        <w:jc w:val="both"/>
        <w:rPr>
          <w:b/>
          <w:sz w:val="28"/>
          <w:szCs w:val="28"/>
          <w:lang w:val="uk-UA"/>
        </w:rPr>
      </w:pPr>
    </w:p>
    <w:p w:rsidR="002F6D5C" w:rsidRDefault="002F6D5C" w:rsidP="002F6D5C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</w:t>
      </w:r>
      <w:r>
        <w:rPr>
          <w:b/>
          <w:sz w:val="28"/>
          <w:szCs w:val="28"/>
          <w:lang w:val="uk-UA"/>
        </w:rPr>
        <w:tab/>
        <w:t xml:space="preserve">      Микола    ЮРЧИШИН   </w:t>
      </w:r>
    </w:p>
    <w:p w:rsidR="002F6D5C" w:rsidRDefault="002F6D5C" w:rsidP="002F6D5C">
      <w:pPr>
        <w:tabs>
          <w:tab w:val="left" w:pos="426"/>
        </w:tabs>
        <w:rPr>
          <w:lang w:val="uk-UA"/>
        </w:rPr>
      </w:pPr>
    </w:p>
    <w:p w:rsidR="002F6D5C" w:rsidRDefault="002F6D5C" w:rsidP="002F6D5C">
      <w:pPr>
        <w:pStyle w:val="a4"/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proofErr w:type="spellStart"/>
      <w:r>
        <w:t>Додаток</w:t>
      </w:r>
      <w:proofErr w:type="spellEnd"/>
      <w:r>
        <w:t xml:space="preserve"> 1</w:t>
      </w:r>
    </w:p>
    <w:p w:rsidR="002F6D5C" w:rsidRDefault="002F6D5C" w:rsidP="002F6D5C">
      <w:pPr>
        <w:ind w:left="5812"/>
        <w:rPr>
          <w:lang w:val="uk-UA" w:eastAsia="uk-UA"/>
        </w:rPr>
      </w:pPr>
      <w:r>
        <w:rPr>
          <w:lang w:val="uk-UA" w:eastAsia="uk-UA"/>
        </w:rPr>
        <w:t xml:space="preserve">         до  </w:t>
      </w:r>
      <w:r>
        <w:rPr>
          <w:lang w:eastAsia="uk-UA"/>
        </w:rPr>
        <w:t xml:space="preserve">  </w:t>
      </w:r>
      <w:r>
        <w:rPr>
          <w:lang w:val="uk-UA" w:eastAsia="uk-UA"/>
        </w:rPr>
        <w:t xml:space="preserve">розпорядження </w:t>
      </w:r>
    </w:p>
    <w:p w:rsidR="002F6D5C" w:rsidRDefault="002F6D5C" w:rsidP="002F6D5C">
      <w:pPr>
        <w:ind w:left="5812"/>
        <w:rPr>
          <w:lang w:val="uk-UA" w:eastAsia="uk-UA"/>
        </w:rPr>
      </w:pPr>
      <w:r>
        <w:rPr>
          <w:lang w:val="uk-UA" w:eastAsia="uk-UA"/>
        </w:rPr>
        <w:t xml:space="preserve">        міського голови</w:t>
      </w:r>
    </w:p>
    <w:p w:rsidR="002F6D5C" w:rsidRDefault="002F6D5C" w:rsidP="002F6D5C">
      <w:pPr>
        <w:ind w:left="5812"/>
        <w:rPr>
          <w:lang w:val="uk-UA" w:eastAsia="uk-UA"/>
        </w:rPr>
      </w:pPr>
      <w:r>
        <w:rPr>
          <w:lang w:val="uk-UA" w:eastAsia="uk-UA"/>
        </w:rPr>
        <w:t xml:space="preserve">       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</w:t>
      </w:r>
      <w:r>
        <w:rPr>
          <w:lang w:val="uk-UA" w:eastAsia="uk-UA"/>
        </w:rPr>
        <w:t>17.08.</w:t>
      </w:r>
      <w:r>
        <w:rPr>
          <w:lang w:eastAsia="uk-UA"/>
        </w:rPr>
        <w:t>2023</w:t>
      </w:r>
      <w:r>
        <w:rPr>
          <w:lang w:val="uk-UA" w:eastAsia="uk-UA"/>
        </w:rPr>
        <w:t xml:space="preserve"> </w:t>
      </w:r>
      <w:proofErr w:type="spellStart"/>
      <w:r>
        <w:rPr>
          <w:lang w:eastAsia="uk-UA"/>
        </w:rPr>
        <w:t>р</w:t>
      </w:r>
      <w:proofErr w:type="spellEnd"/>
      <w:r>
        <w:rPr>
          <w:lang w:val="uk-UA" w:eastAsia="uk-UA"/>
        </w:rPr>
        <w:t xml:space="preserve">оку   </w:t>
      </w:r>
      <w:r>
        <w:rPr>
          <w:lang w:eastAsia="uk-UA"/>
        </w:rPr>
        <w:t xml:space="preserve">№ </w:t>
      </w:r>
      <w:r>
        <w:rPr>
          <w:lang w:val="uk-UA" w:eastAsia="uk-UA"/>
        </w:rPr>
        <w:t>409-р</w:t>
      </w:r>
    </w:p>
    <w:p w:rsidR="002F6D5C" w:rsidRDefault="002F6D5C" w:rsidP="002F6D5C">
      <w:pPr>
        <w:ind w:left="5812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</w:p>
    <w:p w:rsidR="002F6D5C" w:rsidRDefault="002F6D5C" w:rsidP="002F6D5C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ПОЛОЖЕННЯ</w:t>
      </w:r>
    </w:p>
    <w:p w:rsidR="002F6D5C" w:rsidRDefault="002F6D5C" w:rsidP="002F6D5C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про </w:t>
      </w:r>
      <w:proofErr w:type="spellStart"/>
      <w:r>
        <w:rPr>
          <w:sz w:val="28"/>
          <w:szCs w:val="28"/>
          <w:lang w:eastAsia="uk-UA"/>
        </w:rPr>
        <w:t>експертну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комісію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архівного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відділу</w:t>
      </w:r>
      <w:proofErr w:type="spellEnd"/>
      <w:proofErr w:type="gramStart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Х</w:t>
      </w:r>
      <w:proofErr w:type="gramEnd"/>
      <w:r>
        <w:rPr>
          <w:sz w:val="28"/>
          <w:szCs w:val="28"/>
          <w:lang w:val="uk-UA" w:eastAsia="uk-UA"/>
        </w:rPr>
        <w:t>мільницької міської ради</w:t>
      </w:r>
    </w:p>
    <w:p w:rsidR="002F6D5C" w:rsidRDefault="002F6D5C" w:rsidP="002F6D5C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</w:p>
    <w:p w:rsidR="002F6D5C" w:rsidRDefault="002F6D5C" w:rsidP="002F6D5C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1. </w:t>
      </w:r>
      <w:proofErr w:type="spellStart"/>
      <w:r>
        <w:rPr>
          <w:sz w:val="28"/>
          <w:szCs w:val="28"/>
          <w:lang w:eastAsia="uk-UA"/>
        </w:rPr>
        <w:t>Відповідно</w:t>
      </w:r>
      <w:proofErr w:type="spellEnd"/>
      <w:r>
        <w:rPr>
          <w:sz w:val="28"/>
          <w:szCs w:val="28"/>
          <w:lang w:eastAsia="uk-UA"/>
        </w:rPr>
        <w:t xml:space="preserve"> до Закону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«Про </w:t>
      </w:r>
      <w:proofErr w:type="spellStart"/>
      <w:r>
        <w:rPr>
          <w:sz w:val="28"/>
          <w:szCs w:val="28"/>
          <w:lang w:eastAsia="uk-UA"/>
        </w:rPr>
        <w:t>Національний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sz w:val="28"/>
          <w:szCs w:val="28"/>
          <w:lang w:eastAsia="uk-UA"/>
        </w:rPr>
        <w:t>арх</w:t>
      </w:r>
      <w:proofErr w:type="gramEnd"/>
      <w:r>
        <w:rPr>
          <w:sz w:val="28"/>
          <w:szCs w:val="28"/>
          <w:lang w:eastAsia="uk-UA"/>
        </w:rPr>
        <w:t>івний</w:t>
      </w:r>
      <w:proofErr w:type="spellEnd"/>
      <w:r>
        <w:rPr>
          <w:sz w:val="28"/>
          <w:szCs w:val="28"/>
          <w:lang w:eastAsia="uk-UA"/>
        </w:rPr>
        <w:t xml:space="preserve"> фонд та </w:t>
      </w:r>
      <w:proofErr w:type="spellStart"/>
      <w:r>
        <w:rPr>
          <w:sz w:val="28"/>
          <w:szCs w:val="28"/>
          <w:lang w:eastAsia="uk-UA"/>
        </w:rPr>
        <w:t>архівні</w:t>
      </w:r>
      <w:proofErr w:type="spellEnd"/>
      <w:r>
        <w:rPr>
          <w:sz w:val="28"/>
          <w:szCs w:val="28"/>
          <w:lang w:eastAsia="uk-UA"/>
        </w:rPr>
        <w:t xml:space="preserve"> установи» та Порядку </w:t>
      </w:r>
      <w:proofErr w:type="spellStart"/>
      <w:r>
        <w:rPr>
          <w:sz w:val="28"/>
          <w:szCs w:val="28"/>
          <w:lang w:eastAsia="uk-UA"/>
        </w:rPr>
        <w:t>утворення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діяльності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комісій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проведення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експертизи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цінності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документів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затвердже</w:t>
      </w:r>
      <w:r>
        <w:rPr>
          <w:sz w:val="28"/>
          <w:szCs w:val="28"/>
          <w:lang w:eastAsia="uk-UA"/>
        </w:rPr>
        <w:softHyphen/>
        <w:t>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постановою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Кабінету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Міністрів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8 </w:t>
      </w:r>
      <w:proofErr w:type="spellStart"/>
      <w:r>
        <w:rPr>
          <w:sz w:val="28"/>
          <w:szCs w:val="28"/>
          <w:lang w:eastAsia="uk-UA"/>
        </w:rPr>
        <w:t>серпня</w:t>
      </w:r>
      <w:proofErr w:type="spellEnd"/>
      <w:r>
        <w:rPr>
          <w:sz w:val="28"/>
          <w:szCs w:val="28"/>
          <w:lang w:eastAsia="uk-UA"/>
        </w:rPr>
        <w:t xml:space="preserve"> 2007 року № 1004 «Про </w:t>
      </w:r>
      <w:proofErr w:type="spellStart"/>
      <w:r>
        <w:rPr>
          <w:sz w:val="28"/>
          <w:szCs w:val="28"/>
          <w:lang w:eastAsia="uk-UA"/>
        </w:rPr>
        <w:t>проведення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експертизи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цінності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документів</w:t>
      </w:r>
      <w:proofErr w:type="spellEnd"/>
      <w:r>
        <w:rPr>
          <w:sz w:val="28"/>
          <w:szCs w:val="28"/>
          <w:lang w:eastAsia="uk-UA"/>
        </w:rPr>
        <w:t xml:space="preserve">» </w:t>
      </w:r>
      <w:r>
        <w:rPr>
          <w:sz w:val="28"/>
          <w:szCs w:val="28"/>
          <w:lang w:val="uk-UA" w:eastAsia="uk-UA"/>
        </w:rPr>
        <w:t>Хмільницька міська рада</w:t>
      </w:r>
      <w:r>
        <w:rPr>
          <w:sz w:val="28"/>
          <w:szCs w:val="28"/>
          <w:lang w:eastAsia="uk-UA"/>
        </w:rPr>
        <w:t xml:space="preserve">  </w:t>
      </w:r>
      <w:proofErr w:type="spellStart"/>
      <w:r>
        <w:rPr>
          <w:sz w:val="28"/>
          <w:szCs w:val="28"/>
          <w:lang w:eastAsia="uk-UA"/>
        </w:rPr>
        <w:t>утворює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експертну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комісію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архівного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відділу</w:t>
      </w:r>
      <w:proofErr w:type="spellEnd"/>
      <w:r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  <w:lang w:eastAsia="uk-UA"/>
        </w:rPr>
        <w:t>далі</w:t>
      </w:r>
      <w:proofErr w:type="spellEnd"/>
      <w:r>
        <w:rPr>
          <w:sz w:val="28"/>
          <w:szCs w:val="28"/>
          <w:lang w:eastAsia="uk-UA"/>
        </w:rPr>
        <w:t xml:space="preserve"> - ЕК) для </w:t>
      </w:r>
      <w:proofErr w:type="spellStart"/>
      <w:r>
        <w:rPr>
          <w:sz w:val="28"/>
          <w:szCs w:val="28"/>
          <w:lang w:eastAsia="uk-UA"/>
        </w:rPr>
        <w:t>розгляду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методичних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практичних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питань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пов’язаних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проведенням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експертизи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цінності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документів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здійснення</w:t>
      </w:r>
      <w:proofErr w:type="spellEnd"/>
      <w:r>
        <w:rPr>
          <w:sz w:val="28"/>
          <w:szCs w:val="28"/>
          <w:lang w:eastAsia="uk-UA"/>
        </w:rPr>
        <w:t xml:space="preserve"> методичного </w:t>
      </w:r>
      <w:proofErr w:type="spellStart"/>
      <w:r>
        <w:rPr>
          <w:sz w:val="28"/>
          <w:szCs w:val="28"/>
          <w:lang w:eastAsia="uk-UA"/>
        </w:rPr>
        <w:t>керівництва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координації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діяльності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експертних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комісій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державних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органів</w:t>
      </w:r>
      <w:proofErr w:type="spellEnd"/>
      <w:r>
        <w:rPr>
          <w:sz w:val="28"/>
          <w:szCs w:val="28"/>
          <w:lang w:eastAsia="uk-UA"/>
        </w:rPr>
        <w:t>, орган</w:t>
      </w:r>
      <w:r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місцевого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самоврядування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підприємств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установ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організацій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незалежно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форми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власності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громадських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об’єднань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релігійних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організацій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їх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відокремлених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підрозділів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які</w:t>
      </w:r>
      <w:proofErr w:type="spellEnd"/>
      <w:r>
        <w:rPr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sz w:val="28"/>
          <w:szCs w:val="28"/>
          <w:shd w:val="clear" w:color="auto" w:fill="FFFFFF"/>
        </w:rPr>
        <w:t>рішенням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експертно-перевірної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комісії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далі</w:t>
      </w:r>
      <w:proofErr w:type="spellEnd"/>
      <w:r>
        <w:rPr>
          <w:sz w:val="28"/>
          <w:szCs w:val="28"/>
          <w:shd w:val="clear" w:color="auto" w:fill="FFFFFF"/>
        </w:rPr>
        <w:t xml:space="preserve"> - ЕПК) державного </w:t>
      </w:r>
      <w:proofErr w:type="spellStart"/>
      <w:r>
        <w:rPr>
          <w:sz w:val="28"/>
          <w:szCs w:val="28"/>
          <w:shd w:val="clear" w:color="auto" w:fill="FFFFFF"/>
        </w:rPr>
        <w:t>архіву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внесені</w:t>
      </w:r>
      <w:proofErr w:type="spellEnd"/>
      <w:r>
        <w:rPr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sz w:val="28"/>
          <w:szCs w:val="28"/>
          <w:shd w:val="clear" w:color="auto" w:fill="FFFFFF"/>
        </w:rPr>
        <w:t>джерел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формування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Національного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архівного</w:t>
      </w:r>
      <w:proofErr w:type="spellEnd"/>
      <w:r>
        <w:rPr>
          <w:sz w:val="28"/>
          <w:szCs w:val="28"/>
          <w:shd w:val="clear" w:color="auto" w:fill="FFFFFF"/>
        </w:rPr>
        <w:t xml:space="preserve"> фонду (</w:t>
      </w:r>
      <w:proofErr w:type="spellStart"/>
      <w:r>
        <w:rPr>
          <w:sz w:val="28"/>
          <w:szCs w:val="28"/>
          <w:shd w:val="clear" w:color="auto" w:fill="FFFFFF"/>
        </w:rPr>
        <w:t>далі</w:t>
      </w:r>
      <w:proofErr w:type="spellEnd"/>
      <w:r>
        <w:rPr>
          <w:sz w:val="28"/>
          <w:szCs w:val="28"/>
          <w:shd w:val="clear" w:color="auto" w:fill="FFFFFF"/>
        </w:rPr>
        <w:t xml:space="preserve"> - НАФ), та </w:t>
      </w:r>
      <w:proofErr w:type="spellStart"/>
      <w:r>
        <w:rPr>
          <w:sz w:val="28"/>
          <w:szCs w:val="28"/>
          <w:shd w:val="clear" w:color="auto" w:fill="FFFFFF"/>
        </w:rPr>
        <w:t>подання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результатів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експертизи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документів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розгляд</w:t>
      </w:r>
      <w:proofErr w:type="spellEnd"/>
      <w:r>
        <w:rPr>
          <w:sz w:val="28"/>
          <w:szCs w:val="28"/>
          <w:shd w:val="clear" w:color="auto" w:fill="FFFFFF"/>
        </w:rPr>
        <w:t xml:space="preserve"> ЕПК  державного </w:t>
      </w:r>
      <w:proofErr w:type="spellStart"/>
      <w:r>
        <w:rPr>
          <w:sz w:val="28"/>
          <w:szCs w:val="28"/>
          <w:shd w:val="clear" w:color="auto" w:fill="FFFFFF"/>
        </w:rPr>
        <w:t>архіву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Вінницької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області</w:t>
      </w:r>
      <w:proofErr w:type="spellEnd"/>
      <w:r>
        <w:rPr>
          <w:sz w:val="28"/>
          <w:szCs w:val="28"/>
          <w:lang w:eastAsia="uk-UA"/>
        </w:rPr>
        <w:t>.</w:t>
      </w:r>
    </w:p>
    <w:p w:rsidR="002F6D5C" w:rsidRDefault="002F6D5C" w:rsidP="002F6D5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     2.  </w:t>
      </w:r>
      <w:proofErr w:type="spellStart"/>
      <w:r>
        <w:rPr>
          <w:sz w:val="28"/>
          <w:szCs w:val="28"/>
          <w:lang w:eastAsia="uk-UA"/>
        </w:rPr>
        <w:t>Експертна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комісія</w:t>
      </w:r>
      <w:proofErr w:type="spellEnd"/>
      <w:r>
        <w:rPr>
          <w:sz w:val="28"/>
          <w:szCs w:val="28"/>
          <w:lang w:eastAsia="uk-UA"/>
        </w:rPr>
        <w:t xml:space="preserve">  </w:t>
      </w:r>
      <w:proofErr w:type="spellStart"/>
      <w:r>
        <w:rPr>
          <w:sz w:val="28"/>
          <w:szCs w:val="28"/>
          <w:lang w:eastAsia="uk-UA"/>
        </w:rPr>
        <w:t>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постійно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діючим</w:t>
      </w:r>
      <w:proofErr w:type="spellEnd"/>
      <w:r>
        <w:rPr>
          <w:sz w:val="28"/>
          <w:szCs w:val="28"/>
          <w:lang w:eastAsia="uk-UA"/>
        </w:rPr>
        <w:t xml:space="preserve">  органом </w:t>
      </w:r>
      <w:proofErr w:type="spellStart"/>
      <w:r>
        <w:rPr>
          <w:sz w:val="28"/>
          <w:szCs w:val="28"/>
          <w:lang w:eastAsia="uk-UA"/>
        </w:rPr>
        <w:t>архівного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відділу</w:t>
      </w:r>
      <w:proofErr w:type="spellEnd"/>
      <w:proofErr w:type="gramStart"/>
      <w:r>
        <w:rPr>
          <w:sz w:val="28"/>
          <w:szCs w:val="28"/>
          <w:lang w:val="uk-UA" w:eastAsia="uk-UA"/>
        </w:rPr>
        <w:t xml:space="preserve"> Х</w:t>
      </w:r>
      <w:proofErr w:type="gramEnd"/>
      <w:r>
        <w:rPr>
          <w:sz w:val="28"/>
          <w:szCs w:val="28"/>
          <w:lang w:val="uk-UA" w:eastAsia="uk-UA"/>
        </w:rPr>
        <w:t>мільницької міської ради.</w:t>
      </w:r>
    </w:p>
    <w:p w:rsidR="002F6D5C" w:rsidRDefault="002F6D5C" w:rsidP="002F6D5C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3. У </w:t>
      </w:r>
      <w:proofErr w:type="spellStart"/>
      <w:r>
        <w:rPr>
          <w:sz w:val="28"/>
          <w:szCs w:val="28"/>
          <w:lang w:eastAsia="uk-UA"/>
        </w:rPr>
        <w:t>своїй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діяльності</w:t>
      </w:r>
      <w:proofErr w:type="spellEnd"/>
      <w:r>
        <w:rPr>
          <w:sz w:val="28"/>
          <w:szCs w:val="28"/>
          <w:lang w:eastAsia="uk-UA"/>
        </w:rPr>
        <w:t xml:space="preserve"> ЕК </w:t>
      </w:r>
      <w:proofErr w:type="spellStart"/>
      <w:r>
        <w:rPr>
          <w:sz w:val="28"/>
          <w:szCs w:val="28"/>
          <w:lang w:eastAsia="uk-UA"/>
        </w:rPr>
        <w:t>керується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Конституцією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</w:t>
      </w:r>
      <w:proofErr w:type="spellEnd"/>
      <w:r>
        <w:rPr>
          <w:sz w:val="28"/>
          <w:szCs w:val="28"/>
          <w:lang w:eastAsia="uk-UA"/>
        </w:rPr>
        <w:t xml:space="preserve"> законами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, указами Президента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та постановами </w:t>
      </w:r>
      <w:proofErr w:type="spellStart"/>
      <w:r>
        <w:rPr>
          <w:sz w:val="28"/>
          <w:szCs w:val="28"/>
          <w:lang w:eastAsia="uk-UA"/>
        </w:rPr>
        <w:t>Верховної</w:t>
      </w:r>
      <w:proofErr w:type="spellEnd"/>
      <w:r>
        <w:rPr>
          <w:sz w:val="28"/>
          <w:szCs w:val="28"/>
          <w:lang w:eastAsia="uk-UA"/>
        </w:rPr>
        <w:t xml:space="preserve"> Ради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прийнятими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відповідно</w:t>
      </w:r>
      <w:proofErr w:type="spellEnd"/>
      <w:r>
        <w:rPr>
          <w:sz w:val="28"/>
          <w:szCs w:val="28"/>
          <w:lang w:eastAsia="uk-UA"/>
        </w:rPr>
        <w:t xml:space="preserve"> до </w:t>
      </w:r>
      <w:proofErr w:type="spellStart"/>
      <w:r>
        <w:rPr>
          <w:sz w:val="28"/>
          <w:szCs w:val="28"/>
          <w:lang w:eastAsia="uk-UA"/>
        </w:rPr>
        <w:t>Конституції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, актами  </w:t>
      </w:r>
      <w:proofErr w:type="spellStart"/>
      <w:r>
        <w:rPr>
          <w:sz w:val="28"/>
          <w:szCs w:val="28"/>
          <w:lang w:eastAsia="uk-UA"/>
        </w:rPr>
        <w:t>Кабінету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Міні</w:t>
      </w:r>
      <w:proofErr w:type="gramStart"/>
      <w:r>
        <w:rPr>
          <w:sz w:val="28"/>
          <w:szCs w:val="28"/>
          <w:lang w:eastAsia="uk-UA"/>
        </w:rPr>
        <w:t>стр</w:t>
      </w:r>
      <w:proofErr w:type="gramEnd"/>
      <w:r>
        <w:rPr>
          <w:sz w:val="28"/>
          <w:szCs w:val="28"/>
          <w:lang w:eastAsia="uk-UA"/>
        </w:rPr>
        <w:t>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нормативно-правовими</w:t>
      </w:r>
      <w:proofErr w:type="spellEnd"/>
      <w:r>
        <w:rPr>
          <w:sz w:val="28"/>
          <w:szCs w:val="28"/>
          <w:lang w:eastAsia="uk-UA"/>
        </w:rPr>
        <w:t xml:space="preserve"> актами </w:t>
      </w:r>
      <w:proofErr w:type="spellStart"/>
      <w:r>
        <w:rPr>
          <w:sz w:val="28"/>
          <w:szCs w:val="28"/>
          <w:lang w:eastAsia="uk-UA"/>
        </w:rPr>
        <w:t>Міністерства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юстиції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іншими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нормативно-правовими</w:t>
      </w:r>
      <w:proofErr w:type="spellEnd"/>
      <w:r>
        <w:rPr>
          <w:sz w:val="28"/>
          <w:szCs w:val="28"/>
          <w:lang w:eastAsia="uk-UA"/>
        </w:rPr>
        <w:t xml:space="preserve"> актами та </w:t>
      </w:r>
      <w:proofErr w:type="spellStart"/>
      <w:r>
        <w:rPr>
          <w:sz w:val="28"/>
          <w:szCs w:val="28"/>
          <w:lang w:eastAsia="uk-UA"/>
        </w:rPr>
        <w:t>Положенням</w:t>
      </w:r>
      <w:proofErr w:type="spellEnd"/>
      <w:r>
        <w:rPr>
          <w:sz w:val="28"/>
          <w:szCs w:val="28"/>
          <w:lang w:eastAsia="uk-UA"/>
        </w:rPr>
        <w:t xml:space="preserve"> про </w:t>
      </w:r>
      <w:proofErr w:type="spellStart"/>
      <w:r>
        <w:rPr>
          <w:sz w:val="28"/>
          <w:szCs w:val="28"/>
          <w:lang w:eastAsia="uk-UA"/>
        </w:rPr>
        <w:t>експертну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комісію</w:t>
      </w:r>
      <w:proofErr w:type="spellEnd"/>
      <w:r>
        <w:rPr>
          <w:sz w:val="28"/>
          <w:szCs w:val="28"/>
          <w:lang w:eastAsia="uk-UA"/>
        </w:rPr>
        <w:t>.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До складу ЕК,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затверджується</w:t>
      </w:r>
      <w:proofErr w:type="spellEnd"/>
      <w:r>
        <w:rPr>
          <w:sz w:val="28"/>
          <w:szCs w:val="28"/>
          <w:lang w:val="uk-UA"/>
        </w:rPr>
        <w:t xml:space="preserve"> розпорядженням  міського </w:t>
      </w:r>
      <w:r>
        <w:rPr>
          <w:sz w:val="28"/>
          <w:szCs w:val="28"/>
        </w:rPr>
        <w:t>голов</w:t>
      </w:r>
      <w:r>
        <w:rPr>
          <w:sz w:val="28"/>
          <w:szCs w:val="28"/>
          <w:lang w:val="uk-UA"/>
        </w:rPr>
        <w:t>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краєзнавці</w:t>
      </w:r>
      <w:proofErr w:type="spellEnd"/>
      <w:r>
        <w:rPr>
          <w:sz w:val="28"/>
          <w:szCs w:val="28"/>
        </w:rPr>
        <w:t xml:space="preserve">. Головою ЕК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начальник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 w:eastAsia="uk-UA"/>
        </w:rPr>
        <w:t xml:space="preserve"> Хмільницької міської ради</w:t>
      </w:r>
      <w:r>
        <w:rPr>
          <w:sz w:val="28"/>
          <w:szCs w:val="28"/>
        </w:rPr>
        <w:t xml:space="preserve">, секретарем – </w:t>
      </w:r>
      <w:r>
        <w:rPr>
          <w:sz w:val="28"/>
          <w:szCs w:val="28"/>
          <w:lang w:val="uk-UA"/>
        </w:rPr>
        <w:t xml:space="preserve">архіваріус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proofErr w:type="gramStart"/>
      <w:r>
        <w:rPr>
          <w:sz w:val="28"/>
          <w:szCs w:val="28"/>
          <w:lang w:val="uk-UA" w:eastAsia="uk-UA"/>
        </w:rPr>
        <w:t xml:space="preserve"> Х</w:t>
      </w:r>
      <w:proofErr w:type="gramEnd"/>
      <w:r>
        <w:rPr>
          <w:sz w:val="28"/>
          <w:szCs w:val="28"/>
          <w:lang w:val="uk-UA" w:eastAsia="uk-UA"/>
        </w:rPr>
        <w:t>мільницької міської ради</w:t>
      </w:r>
      <w:r>
        <w:rPr>
          <w:sz w:val="28"/>
          <w:szCs w:val="28"/>
        </w:rPr>
        <w:t>.</w:t>
      </w:r>
    </w:p>
    <w:p w:rsidR="002F6D5C" w:rsidRDefault="002F6D5C" w:rsidP="002F6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 xml:space="preserve"> ЕК,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, доводить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за</w:t>
      </w:r>
      <w:proofErr w:type="spellStart"/>
      <w:r>
        <w:rPr>
          <w:sz w:val="28"/>
          <w:szCs w:val="28"/>
          <w:lang w:val="uk-UA"/>
        </w:rPr>
        <w:t>інтересова</w:t>
      </w:r>
      <w:proofErr w:type="spellEnd"/>
      <w:r>
        <w:rPr>
          <w:sz w:val="28"/>
          <w:szCs w:val="28"/>
        </w:rPr>
        <w:t xml:space="preserve">них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громадських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об’єднань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релігійних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організацій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їх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відокремлених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підрозділів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які</w:t>
      </w:r>
      <w:proofErr w:type="spellEnd"/>
      <w:r>
        <w:rPr>
          <w:sz w:val="28"/>
          <w:szCs w:val="28"/>
          <w:shd w:val="clear" w:color="auto" w:fill="FFFFFF"/>
        </w:rPr>
        <w:t xml:space="preserve"> за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>ішенням</w:t>
      </w:r>
      <w:proofErr w:type="spellEnd"/>
      <w:r>
        <w:rPr>
          <w:sz w:val="28"/>
          <w:szCs w:val="28"/>
          <w:shd w:val="clear" w:color="auto" w:fill="FFFFFF"/>
        </w:rPr>
        <w:t xml:space="preserve"> ЕПК державного </w:t>
      </w:r>
      <w:proofErr w:type="spellStart"/>
      <w:r>
        <w:rPr>
          <w:sz w:val="28"/>
          <w:szCs w:val="28"/>
          <w:shd w:val="clear" w:color="auto" w:fill="FFFFFF"/>
        </w:rPr>
        <w:t>архіву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внесені</w:t>
      </w:r>
      <w:proofErr w:type="spellEnd"/>
      <w:r>
        <w:rPr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sz w:val="28"/>
          <w:szCs w:val="28"/>
          <w:shd w:val="clear" w:color="auto" w:fill="FFFFFF"/>
        </w:rPr>
        <w:t>джерел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формування</w:t>
      </w:r>
      <w:proofErr w:type="spellEnd"/>
      <w:r>
        <w:rPr>
          <w:sz w:val="28"/>
          <w:szCs w:val="28"/>
          <w:shd w:val="clear" w:color="auto" w:fill="FFFFFF"/>
        </w:rPr>
        <w:t xml:space="preserve"> НАФ, </w:t>
      </w:r>
      <w:proofErr w:type="spellStart"/>
      <w:r>
        <w:rPr>
          <w:sz w:val="28"/>
          <w:szCs w:val="28"/>
          <w:shd w:val="clear" w:color="auto" w:fill="FFFFFF"/>
        </w:rPr>
        <w:t>музеїв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бібліотек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далі</w:t>
      </w:r>
      <w:proofErr w:type="spellEnd"/>
      <w:r>
        <w:rPr>
          <w:sz w:val="28"/>
          <w:szCs w:val="28"/>
          <w:shd w:val="clear" w:color="auto" w:fill="FFFFFF"/>
        </w:rPr>
        <w:t xml:space="preserve"> - установи)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ЕК,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роботу,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>.</w:t>
      </w:r>
    </w:p>
    <w:p w:rsidR="002F6D5C" w:rsidRDefault="002F6D5C" w:rsidP="002F6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Експертна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ічним</w:t>
      </w:r>
      <w:proofErr w:type="spellEnd"/>
      <w:r>
        <w:rPr>
          <w:sz w:val="28"/>
          <w:szCs w:val="28"/>
        </w:rPr>
        <w:t xml:space="preserve"> планом,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начальником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>.</w:t>
      </w:r>
    </w:p>
    <w:p w:rsidR="002F6D5C" w:rsidRDefault="002F6D5C" w:rsidP="002F6D5C">
      <w:pPr>
        <w:jc w:val="both"/>
        <w:rPr>
          <w:sz w:val="28"/>
          <w:szCs w:val="28"/>
          <w:lang w:val="uk-UA"/>
        </w:rPr>
      </w:pPr>
    </w:p>
    <w:p w:rsidR="002F6D5C" w:rsidRDefault="002F6D5C" w:rsidP="002F6D5C">
      <w:pPr>
        <w:jc w:val="both"/>
        <w:rPr>
          <w:sz w:val="28"/>
          <w:szCs w:val="28"/>
          <w:lang w:val="uk-UA"/>
        </w:rPr>
      </w:pPr>
    </w:p>
    <w:p w:rsidR="002F6D5C" w:rsidRDefault="002F6D5C" w:rsidP="002F6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\</w:t>
      </w:r>
    </w:p>
    <w:p w:rsidR="002F6D5C" w:rsidRDefault="002F6D5C" w:rsidP="002F6D5C">
      <w:pPr>
        <w:jc w:val="both"/>
        <w:rPr>
          <w:sz w:val="28"/>
          <w:szCs w:val="28"/>
          <w:lang w:val="uk-UA"/>
        </w:rPr>
      </w:pPr>
    </w:p>
    <w:p w:rsidR="002F6D5C" w:rsidRDefault="002F6D5C" w:rsidP="002F6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Завданням ЕК архівного відділу є координація роботи з проведення  експертизи цінності установ, що перебувають у зоні комплектування архівного відділу, розгляд питань про доручення до архівних документів спростування недостовірних відомостей про особу, що містяться в таких документах. 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6. ЕК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про: 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 </w:t>
      </w:r>
      <w:proofErr w:type="spellStart"/>
      <w:r>
        <w:rPr>
          <w:sz w:val="28"/>
          <w:szCs w:val="28"/>
        </w:rPr>
        <w:t>схвалення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до ЕПК: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списків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івного</w:t>
      </w:r>
      <w:proofErr w:type="spellEnd"/>
      <w:r>
        <w:rPr>
          <w:sz w:val="28"/>
          <w:szCs w:val="28"/>
        </w:rPr>
        <w:t xml:space="preserve"> фонду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- НАФ)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>;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  <w:shd w:val="clear" w:color="auto" w:fill="FFFFFF"/>
        </w:rPr>
        <w:t>описів</w:t>
      </w:r>
      <w:proofErr w:type="spellEnd"/>
      <w:r>
        <w:rPr>
          <w:sz w:val="28"/>
          <w:szCs w:val="28"/>
          <w:shd w:val="clear" w:color="auto" w:fill="FFFFFF"/>
        </w:rPr>
        <w:t xml:space="preserve"> справ </w:t>
      </w:r>
      <w:proofErr w:type="spellStart"/>
      <w:r>
        <w:rPr>
          <w:sz w:val="28"/>
          <w:szCs w:val="28"/>
          <w:shd w:val="clear" w:color="auto" w:fill="FFFFFF"/>
        </w:rPr>
        <w:t>постійного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зберігання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описів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кін</w:t>
      </w:r>
      <w:proofErr w:type="gramStart"/>
      <w:r>
        <w:rPr>
          <w:sz w:val="28"/>
          <w:szCs w:val="28"/>
          <w:shd w:val="clear" w:color="auto" w:fill="FFFFFF"/>
        </w:rPr>
        <w:t>о</w:t>
      </w:r>
      <w:proofErr w:type="spellEnd"/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відео</w:t>
      </w:r>
      <w:proofErr w:type="spellEnd"/>
      <w:r>
        <w:rPr>
          <w:sz w:val="28"/>
          <w:szCs w:val="28"/>
          <w:shd w:val="clear" w:color="auto" w:fill="FFFFFF"/>
        </w:rPr>
        <w:t xml:space="preserve">-, фото-, </w:t>
      </w:r>
      <w:proofErr w:type="spellStart"/>
      <w:r>
        <w:rPr>
          <w:sz w:val="28"/>
          <w:szCs w:val="28"/>
          <w:shd w:val="clear" w:color="auto" w:fill="FFFFFF"/>
        </w:rPr>
        <w:t>фонодокументів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постійного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зберігання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внесених</w:t>
      </w:r>
      <w:proofErr w:type="spellEnd"/>
      <w:r>
        <w:rPr>
          <w:sz w:val="28"/>
          <w:szCs w:val="28"/>
          <w:shd w:val="clear" w:color="auto" w:fill="FFFFFF"/>
        </w:rPr>
        <w:t xml:space="preserve"> до НАФ, та </w:t>
      </w:r>
      <w:proofErr w:type="spellStart"/>
      <w:r>
        <w:rPr>
          <w:sz w:val="28"/>
          <w:szCs w:val="28"/>
          <w:shd w:val="clear" w:color="auto" w:fill="FFFFFF"/>
        </w:rPr>
        <w:t>описів</w:t>
      </w:r>
      <w:proofErr w:type="spellEnd"/>
      <w:r>
        <w:rPr>
          <w:sz w:val="28"/>
          <w:szCs w:val="28"/>
          <w:shd w:val="clear" w:color="auto" w:fill="FFFFFF"/>
        </w:rPr>
        <w:t xml:space="preserve"> справ </w:t>
      </w: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кадрових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особового</w:t>
      </w:r>
      <w:proofErr w:type="spellEnd"/>
      <w:r>
        <w:rPr>
          <w:sz w:val="28"/>
          <w:szCs w:val="28"/>
          <w:shd w:val="clear" w:color="auto" w:fill="FFFFFF"/>
        </w:rPr>
        <w:t xml:space="preserve"> складу), </w:t>
      </w:r>
      <w:proofErr w:type="spellStart"/>
      <w:r>
        <w:rPr>
          <w:sz w:val="28"/>
          <w:szCs w:val="28"/>
          <w:shd w:val="clear" w:color="auto" w:fill="FFFFFF"/>
        </w:rPr>
        <w:t>актів</w:t>
      </w:r>
      <w:proofErr w:type="spellEnd"/>
      <w:r>
        <w:rPr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sz w:val="28"/>
          <w:szCs w:val="28"/>
          <w:shd w:val="clear" w:color="auto" w:fill="FFFFFF"/>
        </w:rPr>
        <w:t>вилучення</w:t>
      </w:r>
      <w:proofErr w:type="spellEnd"/>
      <w:r>
        <w:rPr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sz w:val="28"/>
          <w:szCs w:val="28"/>
          <w:shd w:val="clear" w:color="auto" w:fill="FFFFFF"/>
        </w:rPr>
        <w:t>знищення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документів</w:t>
      </w:r>
      <w:proofErr w:type="spellEnd"/>
      <w:r>
        <w:rPr>
          <w:sz w:val="28"/>
          <w:szCs w:val="28"/>
          <w:shd w:val="clear" w:color="auto" w:fill="FFFFFF"/>
        </w:rPr>
        <w:t xml:space="preserve">, не </w:t>
      </w:r>
      <w:proofErr w:type="spellStart"/>
      <w:r>
        <w:rPr>
          <w:sz w:val="28"/>
          <w:szCs w:val="28"/>
          <w:shd w:val="clear" w:color="auto" w:fill="FFFFFF"/>
        </w:rPr>
        <w:t>внесених</w:t>
      </w:r>
      <w:proofErr w:type="spellEnd"/>
      <w:r>
        <w:rPr>
          <w:sz w:val="28"/>
          <w:szCs w:val="28"/>
          <w:shd w:val="clear" w:color="auto" w:fill="FFFFFF"/>
        </w:rPr>
        <w:t xml:space="preserve"> до НАФ, номенклатур справ </w:t>
      </w:r>
      <w:proofErr w:type="spellStart"/>
      <w:r>
        <w:rPr>
          <w:sz w:val="28"/>
          <w:szCs w:val="28"/>
          <w:shd w:val="clear" w:color="auto" w:fill="FFFFFF"/>
        </w:rPr>
        <w:t>установ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джерелами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формування</w:t>
      </w:r>
      <w:proofErr w:type="spellEnd"/>
      <w:r>
        <w:rPr>
          <w:sz w:val="28"/>
          <w:szCs w:val="28"/>
          <w:shd w:val="clear" w:color="auto" w:fill="FFFFFF"/>
        </w:rPr>
        <w:t xml:space="preserve"> НАФ </w:t>
      </w:r>
      <w:proofErr w:type="spellStart"/>
      <w:r>
        <w:rPr>
          <w:sz w:val="28"/>
          <w:szCs w:val="28"/>
          <w:shd w:val="clear" w:color="auto" w:fill="FFFFFF"/>
        </w:rPr>
        <w:t>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перебувають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зоні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комплектування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архівного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відділу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про  </w:t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НАФ,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невиправні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пошкодження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НАФ,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установах</w:t>
      </w:r>
      <w:proofErr w:type="spellEnd"/>
      <w:r>
        <w:rPr>
          <w:sz w:val="28"/>
          <w:szCs w:val="28"/>
          <w:shd w:val="clear" w:color="auto" w:fill="FFFFFF"/>
        </w:rPr>
        <w:t xml:space="preserve"> та у </w:t>
      </w:r>
      <w:proofErr w:type="spellStart"/>
      <w:r>
        <w:rPr>
          <w:sz w:val="28"/>
          <w:szCs w:val="28"/>
          <w:shd w:val="clear" w:color="auto" w:fill="FFFFFF"/>
        </w:rPr>
        <w:t>фізичних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>;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анотованих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унікальних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НАФ,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установах</w:t>
      </w:r>
      <w:proofErr w:type="spellEnd"/>
      <w:r>
        <w:rPr>
          <w:sz w:val="28"/>
          <w:szCs w:val="28"/>
          <w:shd w:val="clear" w:color="auto" w:fill="FFFFFF"/>
        </w:rPr>
        <w:t xml:space="preserve"> та у </w:t>
      </w:r>
      <w:proofErr w:type="spellStart"/>
      <w:r>
        <w:rPr>
          <w:sz w:val="28"/>
          <w:szCs w:val="28"/>
          <w:shd w:val="clear" w:color="auto" w:fill="FFFFFF"/>
        </w:rPr>
        <w:t>фізичних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; 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 </w:t>
      </w:r>
      <w:proofErr w:type="spellStart"/>
      <w:r>
        <w:rPr>
          <w:sz w:val="28"/>
          <w:szCs w:val="28"/>
        </w:rPr>
        <w:t>схвалення</w:t>
      </w:r>
      <w:proofErr w:type="spellEnd"/>
      <w:r>
        <w:rPr>
          <w:sz w:val="28"/>
          <w:szCs w:val="28"/>
        </w:rPr>
        <w:t>: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описів</w:t>
      </w:r>
      <w:proofErr w:type="spellEnd"/>
      <w:r>
        <w:rPr>
          <w:sz w:val="28"/>
          <w:szCs w:val="28"/>
        </w:rPr>
        <w:t xml:space="preserve"> справ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особового</w:t>
      </w:r>
      <w:proofErr w:type="spellEnd"/>
      <w:r>
        <w:rPr>
          <w:sz w:val="28"/>
          <w:szCs w:val="28"/>
        </w:rPr>
        <w:t xml:space="preserve"> складу),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знищення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внесених</w:t>
      </w:r>
      <w:proofErr w:type="spellEnd"/>
      <w:r>
        <w:rPr>
          <w:sz w:val="28"/>
          <w:szCs w:val="28"/>
        </w:rPr>
        <w:t xml:space="preserve"> до НАФ,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та в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утворюються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НАФ;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інструкцій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підрозділи</w:t>
      </w:r>
      <w:proofErr w:type="spellEnd"/>
      <w:r>
        <w:rPr>
          <w:sz w:val="28"/>
          <w:szCs w:val="28"/>
        </w:rPr>
        <w:t xml:space="preserve"> та ЕК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НАФ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. 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ЕК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право: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контролювати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установленого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вимагати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розшуку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НАФ,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особового</w:t>
      </w:r>
      <w:proofErr w:type="spellEnd"/>
      <w:r>
        <w:rPr>
          <w:sz w:val="28"/>
          <w:szCs w:val="28"/>
        </w:rPr>
        <w:t xml:space="preserve"> складу)  та </w:t>
      </w:r>
      <w:proofErr w:type="spellStart"/>
      <w:r>
        <w:rPr>
          <w:sz w:val="28"/>
          <w:szCs w:val="28"/>
        </w:rPr>
        <w:t>письмових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пояснень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;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одержувати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заслуховувати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 про стан </w:t>
      </w:r>
      <w:proofErr w:type="spellStart"/>
      <w:r>
        <w:rPr>
          <w:sz w:val="28"/>
          <w:szCs w:val="28"/>
        </w:rPr>
        <w:t>упорядкування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збереженості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НАФ;</w:t>
      </w:r>
    </w:p>
    <w:p w:rsidR="002F6D5C" w:rsidRDefault="002F6D5C" w:rsidP="002F6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запрошувати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консультантів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експертів</w:t>
      </w:r>
      <w:proofErr w:type="spellEnd"/>
      <w:r>
        <w:rPr>
          <w:sz w:val="28"/>
          <w:szCs w:val="28"/>
        </w:rPr>
        <w:t xml:space="preserve">. </w:t>
      </w:r>
    </w:p>
    <w:p w:rsidR="002F6D5C" w:rsidRDefault="002F6D5C" w:rsidP="002F6D5C">
      <w:pPr>
        <w:jc w:val="both"/>
        <w:rPr>
          <w:sz w:val="28"/>
          <w:szCs w:val="28"/>
          <w:lang w:val="uk-UA"/>
        </w:rPr>
      </w:pPr>
    </w:p>
    <w:p w:rsidR="002F6D5C" w:rsidRDefault="002F6D5C" w:rsidP="002F6D5C">
      <w:pPr>
        <w:jc w:val="both"/>
        <w:rPr>
          <w:sz w:val="28"/>
          <w:szCs w:val="28"/>
          <w:lang w:val="uk-UA"/>
        </w:rPr>
      </w:pPr>
    </w:p>
    <w:p w:rsidR="002F6D5C" w:rsidRDefault="002F6D5C" w:rsidP="002F6D5C">
      <w:pPr>
        <w:jc w:val="both"/>
        <w:rPr>
          <w:sz w:val="28"/>
          <w:szCs w:val="28"/>
          <w:lang w:val="uk-UA"/>
        </w:rPr>
      </w:pP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ЕК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чотири</w:t>
      </w:r>
      <w:proofErr w:type="spellEnd"/>
      <w:r>
        <w:rPr>
          <w:sz w:val="28"/>
          <w:szCs w:val="28"/>
        </w:rPr>
        <w:t xml:space="preserve"> рази на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вважаються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правоможними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дві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третини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>.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ЕК </w:t>
      </w: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оформляється</w:t>
      </w:r>
      <w:proofErr w:type="spellEnd"/>
      <w:r>
        <w:rPr>
          <w:sz w:val="28"/>
          <w:szCs w:val="28"/>
        </w:rPr>
        <w:t xml:space="preserve"> протоколом,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підписують</w:t>
      </w:r>
      <w:proofErr w:type="spellEnd"/>
      <w:r>
        <w:rPr>
          <w:sz w:val="28"/>
          <w:szCs w:val="28"/>
        </w:rPr>
        <w:t xml:space="preserve"> голова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ЕК, та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моменту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начальником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>.</w:t>
      </w:r>
    </w:p>
    <w:p w:rsidR="002F6D5C" w:rsidRDefault="002F6D5C" w:rsidP="002F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ЕК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обов'язковим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. </w:t>
      </w:r>
    </w:p>
    <w:p w:rsidR="002F6D5C" w:rsidRDefault="002F6D5C" w:rsidP="002F6D5C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 xml:space="preserve">     Голова ЕК </w:t>
      </w:r>
      <w:proofErr w:type="spellStart"/>
      <w:r>
        <w:rPr>
          <w:sz w:val="28"/>
          <w:szCs w:val="28"/>
          <w:shd w:val="clear" w:color="auto" w:fill="FFFFFF"/>
        </w:rPr>
        <w:t>може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прийняти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>ішення</w:t>
      </w:r>
      <w:proofErr w:type="spellEnd"/>
      <w:r>
        <w:rPr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sz w:val="28"/>
          <w:szCs w:val="28"/>
          <w:shd w:val="clear" w:color="auto" w:fill="FFFFFF"/>
        </w:rPr>
        <w:t>проведення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засідання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режимі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відеоконференції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використанням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відповідного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програмного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забезпечення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зокрема</w:t>
      </w:r>
      <w:proofErr w:type="spellEnd"/>
      <w:r>
        <w:rPr>
          <w:sz w:val="28"/>
          <w:szCs w:val="28"/>
          <w:shd w:val="clear" w:color="auto" w:fill="FFFFFF"/>
        </w:rPr>
        <w:t xml:space="preserve"> через </w:t>
      </w:r>
      <w:proofErr w:type="spellStart"/>
      <w:r>
        <w:rPr>
          <w:sz w:val="28"/>
          <w:szCs w:val="28"/>
          <w:shd w:val="clear" w:color="auto" w:fill="FFFFFF"/>
        </w:rPr>
        <w:t>Інтернет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далі</w:t>
      </w:r>
      <w:proofErr w:type="spellEnd"/>
      <w:r>
        <w:rPr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sz w:val="28"/>
          <w:szCs w:val="28"/>
          <w:shd w:val="clear" w:color="auto" w:fill="FFFFFF"/>
        </w:rPr>
        <w:t>онлайн-засідання</w:t>
      </w:r>
      <w:proofErr w:type="spellEnd"/>
      <w:r>
        <w:rPr>
          <w:sz w:val="28"/>
          <w:szCs w:val="28"/>
          <w:shd w:val="clear" w:color="auto" w:fill="FFFFFF"/>
        </w:rPr>
        <w:t xml:space="preserve">). В </w:t>
      </w:r>
      <w:proofErr w:type="spellStart"/>
      <w:r>
        <w:rPr>
          <w:sz w:val="28"/>
          <w:szCs w:val="28"/>
          <w:shd w:val="clear" w:color="auto" w:fill="FFFFFF"/>
        </w:rPr>
        <w:t>онлайн-засіданні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беруть</w:t>
      </w:r>
      <w:proofErr w:type="spellEnd"/>
      <w:r>
        <w:rPr>
          <w:sz w:val="28"/>
          <w:szCs w:val="28"/>
          <w:shd w:val="clear" w:color="auto" w:fill="FFFFFF"/>
        </w:rPr>
        <w:t xml:space="preserve"> участь члени ЕК, а </w:t>
      </w:r>
      <w:proofErr w:type="spellStart"/>
      <w:r>
        <w:rPr>
          <w:sz w:val="28"/>
          <w:szCs w:val="28"/>
          <w:shd w:val="clear" w:color="auto" w:fill="FFFFFF"/>
        </w:rPr>
        <w:t>також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запрошен</w:t>
      </w:r>
      <w:proofErr w:type="gramEnd"/>
      <w:r>
        <w:rPr>
          <w:sz w:val="28"/>
          <w:szCs w:val="28"/>
          <w:shd w:val="clear" w:color="auto" w:fill="FFFFFF"/>
        </w:rPr>
        <w:t>і</w:t>
      </w:r>
      <w:proofErr w:type="spellEnd"/>
      <w:r>
        <w:rPr>
          <w:sz w:val="28"/>
          <w:szCs w:val="28"/>
          <w:shd w:val="clear" w:color="auto" w:fill="FFFFFF"/>
        </w:rPr>
        <w:t xml:space="preserve"> особи.</w:t>
      </w:r>
    </w:p>
    <w:p w:rsidR="002F6D5C" w:rsidRDefault="002F6D5C" w:rsidP="002F6D5C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2F6D5C" w:rsidRDefault="002F6D5C" w:rsidP="002F6D5C">
      <w:pPr>
        <w:jc w:val="both"/>
        <w:rPr>
          <w:sz w:val="28"/>
          <w:szCs w:val="28"/>
          <w:lang w:val="uk-UA"/>
        </w:rPr>
      </w:pPr>
    </w:p>
    <w:p w:rsidR="002F6D5C" w:rsidRDefault="002F6D5C" w:rsidP="002F6D5C">
      <w:pPr>
        <w:jc w:val="both"/>
        <w:rPr>
          <w:sz w:val="28"/>
          <w:szCs w:val="28"/>
        </w:rPr>
      </w:pPr>
    </w:p>
    <w:p w:rsidR="002F6D5C" w:rsidRDefault="002F6D5C" w:rsidP="002F6D5C">
      <w:pPr>
        <w:pStyle w:val="a4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</w:t>
      </w:r>
      <w:r>
        <w:rPr>
          <w:b/>
          <w:sz w:val="28"/>
          <w:szCs w:val="28"/>
          <w:lang w:val="uk-UA"/>
        </w:rPr>
        <w:tab/>
        <w:t xml:space="preserve">              Микола    ЮРЧИШИН</w:t>
      </w:r>
      <w:r>
        <w:rPr>
          <w:b/>
          <w:sz w:val="28"/>
          <w:szCs w:val="28"/>
          <w:lang w:val="uk-UA"/>
        </w:rPr>
        <w:tab/>
      </w:r>
    </w:p>
    <w:p w:rsidR="002F6D5C" w:rsidRDefault="002F6D5C" w:rsidP="002F6D5C">
      <w:pPr>
        <w:pStyle w:val="a4"/>
        <w:rPr>
          <w:sz w:val="28"/>
          <w:szCs w:val="28"/>
        </w:rPr>
      </w:pPr>
    </w:p>
    <w:p w:rsidR="002F6D5C" w:rsidRDefault="002F6D5C" w:rsidP="002F6D5C">
      <w:pPr>
        <w:pStyle w:val="a4"/>
        <w:rPr>
          <w:sz w:val="28"/>
          <w:szCs w:val="28"/>
        </w:rPr>
      </w:pPr>
    </w:p>
    <w:p w:rsidR="002F6D5C" w:rsidRDefault="002F6D5C" w:rsidP="002F6D5C">
      <w:pPr>
        <w:pStyle w:val="a4"/>
        <w:rPr>
          <w:sz w:val="28"/>
          <w:szCs w:val="28"/>
        </w:rPr>
      </w:pPr>
    </w:p>
    <w:p w:rsidR="002F6D5C" w:rsidRDefault="002F6D5C" w:rsidP="002F6D5C">
      <w:pPr>
        <w:pStyle w:val="a4"/>
        <w:rPr>
          <w:sz w:val="28"/>
          <w:szCs w:val="28"/>
          <w:lang w:val="uk-UA"/>
        </w:rPr>
      </w:pPr>
    </w:p>
    <w:p w:rsidR="002F6D5C" w:rsidRDefault="002F6D5C" w:rsidP="002F6D5C">
      <w:pPr>
        <w:pStyle w:val="a4"/>
        <w:rPr>
          <w:sz w:val="28"/>
          <w:szCs w:val="28"/>
          <w:lang w:val="uk-UA"/>
        </w:rPr>
      </w:pPr>
    </w:p>
    <w:p w:rsidR="002F6D5C" w:rsidRDefault="002F6D5C" w:rsidP="002F6D5C">
      <w:pPr>
        <w:pStyle w:val="4"/>
        <w:spacing w:before="0"/>
        <w:jc w:val="right"/>
        <w:rPr>
          <w:sz w:val="26"/>
          <w:szCs w:val="26"/>
          <w:lang w:val="uk-UA"/>
        </w:rPr>
      </w:pPr>
    </w:p>
    <w:p w:rsidR="002F6D5C" w:rsidRDefault="002F6D5C" w:rsidP="002F6D5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Схвалено:</w:t>
      </w:r>
    </w:p>
    <w:p w:rsidR="002F6D5C" w:rsidRDefault="002F6D5C" w:rsidP="002F6D5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засідання </w:t>
      </w:r>
    </w:p>
    <w:p w:rsidR="002F6D5C" w:rsidRDefault="002F6D5C" w:rsidP="002F6D5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 архівного відділу</w:t>
      </w:r>
    </w:p>
    <w:p w:rsidR="002F6D5C" w:rsidRDefault="002F6D5C" w:rsidP="002F6D5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</w:t>
      </w:r>
    </w:p>
    <w:p w:rsidR="002F6D5C" w:rsidRDefault="002F6D5C" w:rsidP="002F6D5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 № </w:t>
      </w: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pStyle w:val="a4"/>
      </w:pPr>
      <w:r>
        <w:rPr>
          <w:lang w:val="uk-UA"/>
        </w:rPr>
        <w:t xml:space="preserve">                          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1</w:t>
      </w:r>
    </w:p>
    <w:p w:rsidR="002F6D5C" w:rsidRDefault="002F6D5C" w:rsidP="002F6D5C">
      <w:pPr>
        <w:ind w:left="5812"/>
        <w:rPr>
          <w:lang w:val="uk-UA" w:eastAsia="uk-UA"/>
        </w:rPr>
      </w:pPr>
      <w:r>
        <w:rPr>
          <w:lang w:val="uk-UA" w:eastAsia="uk-UA"/>
        </w:rPr>
        <w:t xml:space="preserve">        до  </w:t>
      </w:r>
      <w:r>
        <w:rPr>
          <w:lang w:eastAsia="uk-UA"/>
        </w:rPr>
        <w:t xml:space="preserve">  </w:t>
      </w:r>
      <w:r>
        <w:rPr>
          <w:lang w:val="uk-UA" w:eastAsia="uk-UA"/>
        </w:rPr>
        <w:t xml:space="preserve">розпорядження </w:t>
      </w:r>
    </w:p>
    <w:p w:rsidR="002F6D5C" w:rsidRDefault="002F6D5C" w:rsidP="002F6D5C">
      <w:pPr>
        <w:ind w:left="5812"/>
        <w:rPr>
          <w:lang w:val="uk-UA" w:eastAsia="uk-UA"/>
        </w:rPr>
      </w:pPr>
      <w:r>
        <w:rPr>
          <w:lang w:val="uk-UA" w:eastAsia="uk-UA"/>
        </w:rPr>
        <w:t xml:space="preserve">        міського голови</w:t>
      </w:r>
    </w:p>
    <w:p w:rsidR="002F6D5C" w:rsidRDefault="002F6D5C" w:rsidP="002F6D5C">
      <w:pPr>
        <w:ind w:left="5812"/>
        <w:rPr>
          <w:lang w:val="uk-UA" w:eastAsia="uk-UA"/>
        </w:rPr>
      </w:pPr>
      <w:r>
        <w:rPr>
          <w:lang w:val="uk-UA" w:eastAsia="uk-UA"/>
        </w:rPr>
        <w:t xml:space="preserve">       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</w:t>
      </w:r>
      <w:r>
        <w:rPr>
          <w:lang w:val="uk-UA" w:eastAsia="uk-UA"/>
        </w:rPr>
        <w:t>17.08.</w:t>
      </w:r>
      <w:r>
        <w:rPr>
          <w:lang w:eastAsia="uk-UA"/>
        </w:rPr>
        <w:t>2023</w:t>
      </w:r>
      <w:r>
        <w:rPr>
          <w:lang w:val="uk-UA" w:eastAsia="uk-UA"/>
        </w:rPr>
        <w:t xml:space="preserve"> </w:t>
      </w:r>
      <w:proofErr w:type="spellStart"/>
      <w:r>
        <w:rPr>
          <w:lang w:eastAsia="uk-UA"/>
        </w:rPr>
        <w:t>р</w:t>
      </w:r>
      <w:proofErr w:type="spellEnd"/>
      <w:r>
        <w:rPr>
          <w:lang w:val="uk-UA" w:eastAsia="uk-UA"/>
        </w:rPr>
        <w:t xml:space="preserve">оку   </w:t>
      </w:r>
      <w:r>
        <w:rPr>
          <w:lang w:eastAsia="uk-UA"/>
        </w:rPr>
        <w:t xml:space="preserve">№ </w:t>
      </w:r>
      <w:r>
        <w:rPr>
          <w:lang w:val="uk-UA" w:eastAsia="uk-UA"/>
        </w:rPr>
        <w:t>409-р</w:t>
      </w:r>
    </w:p>
    <w:p w:rsidR="002F6D5C" w:rsidRDefault="002F6D5C" w:rsidP="002F6D5C">
      <w:pPr>
        <w:tabs>
          <w:tab w:val="left" w:pos="426"/>
        </w:tabs>
        <w:jc w:val="right"/>
        <w:rPr>
          <w:lang w:val="uk-UA"/>
        </w:rPr>
      </w:pPr>
    </w:p>
    <w:p w:rsidR="002F6D5C" w:rsidRDefault="002F6D5C" w:rsidP="002F6D5C">
      <w:pPr>
        <w:pStyle w:val="a4"/>
        <w:jc w:val="center"/>
        <w:rPr>
          <w:sz w:val="28"/>
          <w:szCs w:val="28"/>
          <w:lang w:val="uk-UA"/>
        </w:rPr>
      </w:pPr>
    </w:p>
    <w:p w:rsidR="002F6D5C" w:rsidRDefault="002F6D5C" w:rsidP="002F6D5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2F6D5C" w:rsidRDefault="002F6D5C" w:rsidP="002F6D5C">
      <w:pPr>
        <w:pStyle w:val="a4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експертної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</w:p>
    <w:p w:rsidR="002F6D5C" w:rsidRDefault="002F6D5C" w:rsidP="002F6D5C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2"/>
        <w:gridCol w:w="6529"/>
      </w:tblGrid>
      <w:tr w:rsidR="002F6D5C" w:rsidTr="002F6D5C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C" w:rsidRDefault="002F6D5C">
            <w:pPr>
              <w:pStyle w:val="a4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Руслана ПОЛІЩУЧЕНКО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C" w:rsidRDefault="002F6D5C" w:rsidP="009C73B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арх</w:t>
            </w:r>
            <w:proofErr w:type="gramEnd"/>
            <w:r>
              <w:rPr>
                <w:sz w:val="28"/>
                <w:szCs w:val="28"/>
                <w:lang w:eastAsia="en-US"/>
              </w:rPr>
              <w:t>івного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F6D5C" w:rsidRDefault="002F6D5C">
            <w:pPr>
              <w:pStyle w:val="a4"/>
              <w:spacing w:line="276" w:lineRule="auto"/>
              <w:ind w:left="72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Хмільницької міської ради</w:t>
            </w:r>
            <w:r>
              <w:rPr>
                <w:sz w:val="28"/>
                <w:szCs w:val="28"/>
                <w:lang w:eastAsia="en-US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комісії</w:t>
            </w:r>
            <w:proofErr w:type="spellEnd"/>
          </w:p>
          <w:p w:rsidR="002F6D5C" w:rsidRDefault="002F6D5C">
            <w:pPr>
              <w:pStyle w:val="a4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F6D5C" w:rsidTr="002F6D5C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C" w:rsidRDefault="002F6D5C">
            <w:pPr>
              <w:pStyle w:val="a4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Світлана ВИШНІВСЬКА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C" w:rsidRDefault="002F6D5C" w:rsidP="009C73B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архіваріус архівного відділу </w:t>
            </w:r>
          </w:p>
          <w:p w:rsidR="002F6D5C" w:rsidRDefault="002F6D5C">
            <w:pPr>
              <w:pStyle w:val="a4"/>
              <w:spacing w:line="276" w:lineRule="auto"/>
              <w:ind w:left="72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Хмільницької міської ради , секретар комісії</w:t>
            </w:r>
          </w:p>
        </w:tc>
      </w:tr>
      <w:tr w:rsidR="002F6D5C" w:rsidTr="002F6D5C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C" w:rsidRDefault="002F6D5C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ії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2F6D5C" w:rsidRDefault="002F6D5C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5C" w:rsidRDefault="002F6D5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F6D5C" w:rsidTr="002F6D5C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C" w:rsidRDefault="002F6D5C">
            <w:pPr>
              <w:pStyle w:val="a4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Ольга </w:t>
            </w:r>
          </w:p>
          <w:p w:rsidR="002F6D5C" w:rsidRDefault="002F6D5C">
            <w:pPr>
              <w:pStyle w:val="a4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ПРОКОПОВИЧ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C" w:rsidRDefault="002F6D5C" w:rsidP="009C73B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val="uk-UA" w:eastAsia="en-US"/>
              </w:rPr>
              <w:t xml:space="preserve">загального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F6D5C" w:rsidRDefault="002F6D5C">
            <w:pPr>
              <w:pStyle w:val="a4"/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Хмільницької міської ради</w:t>
            </w:r>
          </w:p>
        </w:tc>
      </w:tr>
      <w:tr w:rsidR="002F6D5C" w:rsidTr="002F6D5C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C" w:rsidRDefault="002F6D5C">
            <w:pPr>
              <w:pStyle w:val="a4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Тетяна</w:t>
            </w:r>
          </w:p>
          <w:p w:rsidR="002F6D5C" w:rsidRDefault="002F6D5C">
            <w:pPr>
              <w:pStyle w:val="a4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ШМАЛЬ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C" w:rsidRDefault="002F6D5C" w:rsidP="009C73B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головний спеціаліст - бухгалтер відділу  бухгалтерського  обліку </w:t>
            </w:r>
          </w:p>
          <w:p w:rsidR="002F6D5C" w:rsidRDefault="002F6D5C">
            <w:pPr>
              <w:pStyle w:val="a4"/>
              <w:spacing w:line="276" w:lineRule="auto"/>
              <w:ind w:left="72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Хмільницької міської ради</w:t>
            </w:r>
          </w:p>
        </w:tc>
      </w:tr>
      <w:tr w:rsidR="002F6D5C" w:rsidTr="002F6D5C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C" w:rsidRDefault="002F6D5C">
            <w:pPr>
              <w:pStyle w:val="a4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Оксана </w:t>
            </w:r>
          </w:p>
          <w:p w:rsidR="002F6D5C" w:rsidRDefault="002F6D5C">
            <w:pPr>
              <w:pStyle w:val="a4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ТЕНДЕРИС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5C" w:rsidRDefault="002F6D5C" w:rsidP="009C73B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спеціаліст юридичного відділу Хмільницької міської ради</w:t>
            </w:r>
          </w:p>
        </w:tc>
      </w:tr>
    </w:tbl>
    <w:p w:rsidR="002F6D5C" w:rsidRDefault="002F6D5C" w:rsidP="002F6D5C">
      <w:pPr>
        <w:pStyle w:val="a4"/>
        <w:rPr>
          <w:sz w:val="28"/>
          <w:szCs w:val="28"/>
        </w:rPr>
      </w:pPr>
    </w:p>
    <w:p w:rsidR="002F6D5C" w:rsidRDefault="002F6D5C" w:rsidP="002F6D5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D5C" w:rsidRDefault="002F6D5C" w:rsidP="002F6D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 </w:t>
      </w:r>
    </w:p>
    <w:p w:rsidR="002F6D5C" w:rsidRDefault="002F6D5C" w:rsidP="002F6D5C">
      <w:pPr>
        <w:tabs>
          <w:tab w:val="left" w:pos="5940"/>
        </w:tabs>
        <w:jc w:val="both"/>
        <w:rPr>
          <w:sz w:val="28"/>
          <w:szCs w:val="28"/>
        </w:rPr>
      </w:pPr>
    </w:p>
    <w:p w:rsidR="002F6D5C" w:rsidRDefault="002F6D5C" w:rsidP="002F6D5C">
      <w:pPr>
        <w:jc w:val="both"/>
        <w:rPr>
          <w:sz w:val="28"/>
          <w:szCs w:val="28"/>
        </w:rPr>
      </w:pPr>
    </w:p>
    <w:p w:rsidR="002F6D5C" w:rsidRDefault="002F6D5C" w:rsidP="002F6D5C">
      <w:pPr>
        <w:pStyle w:val="a4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</w:t>
      </w:r>
      <w:r>
        <w:rPr>
          <w:b/>
          <w:sz w:val="28"/>
          <w:szCs w:val="28"/>
          <w:lang w:val="uk-UA"/>
        </w:rPr>
        <w:tab/>
        <w:t xml:space="preserve">              Микола       ЮРЧИШИН</w:t>
      </w:r>
      <w:r>
        <w:rPr>
          <w:b/>
          <w:sz w:val="28"/>
          <w:szCs w:val="28"/>
          <w:lang w:val="uk-UA"/>
        </w:rPr>
        <w:tab/>
      </w:r>
    </w:p>
    <w:p w:rsidR="002F6D5C" w:rsidRDefault="002F6D5C" w:rsidP="002F6D5C"/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2F6D5C" w:rsidRDefault="002F6D5C" w:rsidP="002F6D5C">
      <w:pPr>
        <w:rPr>
          <w:lang w:val="uk-UA"/>
        </w:rPr>
      </w:pPr>
    </w:p>
    <w:p w:rsidR="007D4F69" w:rsidRDefault="007D4F69"/>
    <w:sectPr w:rsidR="007D4F69" w:rsidSect="002F6D5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07C07"/>
    <w:multiLevelType w:val="hybridMultilevel"/>
    <w:tmpl w:val="45E4CC1C"/>
    <w:lvl w:ilvl="0" w:tplc="1B782C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46E19"/>
    <w:multiLevelType w:val="hybridMultilevel"/>
    <w:tmpl w:val="6ABE7F7C"/>
    <w:lvl w:ilvl="0" w:tplc="DC787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D5C"/>
    <w:rsid w:val="002F6D5C"/>
    <w:rsid w:val="007D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D5C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D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D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D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F6D5C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No Spacing"/>
    <w:uiPriority w:val="1"/>
    <w:qFormat/>
    <w:rsid w:val="002F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F6D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6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2023-08-21T08:07:00Z</dcterms:created>
  <dcterms:modified xsi:type="dcterms:W3CDTF">2023-08-21T08:09:00Z</dcterms:modified>
</cp:coreProperties>
</file>