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E0" w:rsidRDefault="00A84DCE" w:rsidP="001E5AE0">
      <w:pPr>
        <w:ind w:left="4320" w:hanging="4320"/>
        <w:jc w:val="center"/>
        <w:rPr>
          <w:b/>
          <w:sz w:val="28"/>
          <w:szCs w:val="28"/>
          <w:lang w:val="uk-UA"/>
        </w:rPr>
      </w:pPr>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E84E21">
        <w:rPr>
          <w:b/>
          <w:sz w:val="28"/>
          <w:szCs w:val="28"/>
          <w:lang w:val="uk-UA"/>
        </w:rPr>
        <w:t>червень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bookmarkStart w:id="0" w:name="_GoBack"/>
      <w:bookmarkEnd w:id="0"/>
    </w:p>
    <w:p w:rsidR="00EF1FE1" w:rsidRPr="001E5AE0" w:rsidRDefault="00EF1FE1" w:rsidP="001E5AE0">
      <w:pPr>
        <w:tabs>
          <w:tab w:val="left" w:pos="5670"/>
        </w:tabs>
        <w:ind w:left="708" w:firstLine="4962"/>
        <w:jc w:val="center"/>
        <w:rPr>
          <w:b/>
          <w:sz w:val="28"/>
          <w:szCs w:val="28"/>
          <w:lang w:val="uk-UA"/>
        </w:rPr>
      </w:pPr>
    </w:p>
    <w:p w:rsidR="00677EEF" w:rsidRPr="00AA035F" w:rsidRDefault="00C31011" w:rsidP="00677EEF">
      <w:pPr>
        <w:tabs>
          <w:tab w:val="left" w:pos="567"/>
        </w:tabs>
        <w:ind w:firstLine="567"/>
        <w:rPr>
          <w:sz w:val="28"/>
          <w:szCs w:val="28"/>
          <w:lang w:val="uk-UA"/>
        </w:rPr>
      </w:pPr>
      <w:r w:rsidRPr="00747F20">
        <w:rPr>
          <w:color w:val="FF0000"/>
          <w:sz w:val="28"/>
          <w:szCs w:val="28"/>
          <w:lang w:val="uk-UA"/>
        </w:rPr>
        <w:tab/>
      </w:r>
      <w:r w:rsidR="00677EEF" w:rsidRPr="00AA035F">
        <w:rPr>
          <w:sz w:val="28"/>
          <w:szCs w:val="28"/>
          <w:lang w:val="uk-UA"/>
        </w:rPr>
        <w:t xml:space="preserve">За січень - червень  2025 року загальний обсяг бюджету складає  281122,3 тис. грн (з урахуванням трансфертів). </w:t>
      </w:r>
    </w:p>
    <w:p w:rsidR="00677EEF" w:rsidRPr="00AA035F" w:rsidRDefault="00677EEF" w:rsidP="00677EEF">
      <w:pPr>
        <w:tabs>
          <w:tab w:val="left" w:pos="709"/>
        </w:tabs>
        <w:jc w:val="both"/>
        <w:rPr>
          <w:sz w:val="28"/>
          <w:szCs w:val="28"/>
          <w:lang w:val="uk-UA"/>
        </w:rPr>
      </w:pPr>
      <w:r w:rsidRPr="00AA035F">
        <w:rPr>
          <w:sz w:val="28"/>
          <w:szCs w:val="28"/>
          <w:lang w:val="uk-UA"/>
        </w:rPr>
        <w:t xml:space="preserve">       </w:t>
      </w:r>
      <w:r>
        <w:rPr>
          <w:sz w:val="28"/>
          <w:szCs w:val="28"/>
          <w:lang w:val="uk-UA"/>
        </w:rPr>
        <w:tab/>
      </w:r>
      <w:r w:rsidRPr="00AA035F">
        <w:rPr>
          <w:sz w:val="28"/>
          <w:szCs w:val="28"/>
          <w:lang w:val="uk-UA"/>
        </w:rPr>
        <w:t>До загального фонду бюджету надійшло 273379,9 тис. грн, з них:</w:t>
      </w:r>
    </w:p>
    <w:p w:rsidR="00677EEF" w:rsidRPr="00AA035F" w:rsidRDefault="00677EEF" w:rsidP="00677EEF">
      <w:pPr>
        <w:tabs>
          <w:tab w:val="left" w:pos="567"/>
        </w:tabs>
        <w:ind w:firstLine="567"/>
        <w:jc w:val="both"/>
        <w:rPr>
          <w:sz w:val="28"/>
          <w:szCs w:val="28"/>
          <w:lang w:val="uk-UA"/>
        </w:rPr>
      </w:pPr>
      <w:r>
        <w:rPr>
          <w:sz w:val="28"/>
          <w:szCs w:val="28"/>
          <w:lang w:val="uk-UA"/>
        </w:rPr>
        <w:tab/>
      </w:r>
      <w:r w:rsidRPr="00AA035F">
        <w:rPr>
          <w:sz w:val="28"/>
          <w:szCs w:val="28"/>
          <w:lang w:val="uk-UA"/>
        </w:rPr>
        <w:t>-  міжбюджетні трансферти склали 83987,4 тис. грн;</w:t>
      </w:r>
    </w:p>
    <w:p w:rsidR="00677EEF" w:rsidRPr="00AA035F" w:rsidRDefault="00677EEF" w:rsidP="00677EEF">
      <w:pPr>
        <w:tabs>
          <w:tab w:val="left" w:pos="567"/>
        </w:tabs>
        <w:ind w:firstLine="567"/>
        <w:jc w:val="both"/>
        <w:rPr>
          <w:sz w:val="28"/>
          <w:szCs w:val="28"/>
          <w:lang w:val="uk-UA"/>
        </w:rPr>
      </w:pPr>
      <w:r>
        <w:rPr>
          <w:sz w:val="28"/>
          <w:szCs w:val="28"/>
          <w:lang w:val="uk-UA"/>
        </w:rPr>
        <w:tab/>
      </w:r>
      <w:r w:rsidRPr="00AA035F">
        <w:rPr>
          <w:sz w:val="28"/>
          <w:szCs w:val="28"/>
          <w:lang w:val="uk-UA"/>
        </w:rPr>
        <w:t xml:space="preserve">- податки та інші платежі 189392,5 тис. грн, або 107,7 %    плану за звітний період. Понад план надійшло 13488,4 тис. грн. Рівень виконання річного плану становить 52,2%. </w:t>
      </w:r>
    </w:p>
    <w:p w:rsidR="00677EEF" w:rsidRPr="00AA035F" w:rsidRDefault="00677EEF" w:rsidP="00677EEF">
      <w:pPr>
        <w:pStyle w:val="ab"/>
        <w:tabs>
          <w:tab w:val="left" w:pos="567"/>
        </w:tabs>
        <w:spacing w:after="0"/>
        <w:ind w:left="0"/>
        <w:jc w:val="both"/>
        <w:rPr>
          <w:sz w:val="28"/>
          <w:szCs w:val="28"/>
          <w:lang w:val="uk-UA"/>
        </w:rPr>
      </w:pPr>
      <w:r w:rsidRPr="00AA035F">
        <w:rPr>
          <w:sz w:val="28"/>
          <w:szCs w:val="28"/>
          <w:lang w:val="uk-UA"/>
        </w:rPr>
        <w:t xml:space="preserve">      </w:t>
      </w:r>
      <w:r>
        <w:rPr>
          <w:sz w:val="28"/>
          <w:szCs w:val="28"/>
          <w:lang w:val="uk-UA"/>
        </w:rPr>
        <w:tab/>
      </w:r>
      <w:r w:rsidRPr="00AA035F">
        <w:rPr>
          <w:sz w:val="28"/>
          <w:szCs w:val="28"/>
          <w:lang w:val="uk-UA"/>
        </w:rPr>
        <w:t xml:space="preserve"> Обсяг надходження  податку  та зборів  на  доходи фізичних осіб склав  104943,4 тис. грн, або 108,2 %   плану звітного періоду. </w:t>
      </w:r>
    </w:p>
    <w:p w:rsidR="00677EEF" w:rsidRPr="00AA035F" w:rsidRDefault="00677EEF" w:rsidP="00677EEF">
      <w:pPr>
        <w:pStyle w:val="ab"/>
        <w:spacing w:after="0"/>
        <w:ind w:left="0" w:firstLine="709"/>
        <w:rPr>
          <w:sz w:val="28"/>
          <w:szCs w:val="28"/>
          <w:lang w:val="uk-UA"/>
        </w:rPr>
      </w:pPr>
      <w:r w:rsidRPr="00AA035F">
        <w:rPr>
          <w:color w:val="FF0000"/>
          <w:sz w:val="28"/>
          <w:szCs w:val="28"/>
          <w:lang w:val="uk-UA"/>
        </w:rPr>
        <w:t xml:space="preserve">   </w:t>
      </w:r>
      <w:r>
        <w:rPr>
          <w:color w:val="FF0000"/>
          <w:sz w:val="28"/>
          <w:szCs w:val="28"/>
          <w:lang w:val="uk-UA"/>
        </w:rPr>
        <w:tab/>
      </w:r>
      <w:r w:rsidRPr="00AA035F">
        <w:rPr>
          <w:sz w:val="28"/>
          <w:szCs w:val="28"/>
          <w:lang w:val="uk-UA"/>
        </w:rPr>
        <w:t>Податку на прибуток підприємств надійшло 0,5 тис. грн.</w:t>
      </w:r>
    </w:p>
    <w:p w:rsidR="00677EEF" w:rsidRPr="00AA035F" w:rsidRDefault="00677EEF" w:rsidP="00677EEF">
      <w:pPr>
        <w:pStyle w:val="ab"/>
        <w:tabs>
          <w:tab w:val="left" w:pos="709"/>
        </w:tabs>
        <w:spacing w:after="0"/>
        <w:ind w:left="0" w:firstLine="567"/>
        <w:jc w:val="both"/>
        <w:rPr>
          <w:sz w:val="28"/>
          <w:szCs w:val="28"/>
          <w:lang w:val="uk-UA"/>
        </w:rPr>
      </w:pPr>
      <w:r>
        <w:rPr>
          <w:sz w:val="28"/>
          <w:szCs w:val="28"/>
          <w:lang w:val="uk-UA"/>
        </w:rPr>
        <w:tab/>
      </w:r>
      <w:r w:rsidRPr="00AA035F">
        <w:rPr>
          <w:sz w:val="28"/>
          <w:szCs w:val="28"/>
          <w:lang w:val="uk-UA"/>
        </w:rPr>
        <w:t xml:space="preserve">Рентної плати та плати за використання інших природних ресурсів   надійшло 281,3 тис. грн, або 78,0% плану звітного періоду. </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Акцизного податку на пальне надійшло 8826,6 тис. грн, або 141,7%, при плані за звітний період 6230,0 тис. грн.</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3297,6 тис. грн.</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Акцизного податку з реалізації суб´єктами господарювання роздрібної торгівлі підакцизних товарів надійшло 2817,2 тис. грн.</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 xml:space="preserve">Податку на майно  надійшло 33408,9 тис. грн, або 101,0 %. У складі податку на майно  надійшло плати за землю – 26125,1 тис. грн, податку на нерухоме майно  відмінне від  земельної ділянки – 7151,4 тис. грн, транспортного податку – 132,4 тис. грн. </w:t>
      </w:r>
    </w:p>
    <w:p w:rsidR="00677EEF" w:rsidRPr="00AA035F" w:rsidRDefault="00677EEF" w:rsidP="00677EEF">
      <w:pPr>
        <w:pStyle w:val="ab"/>
        <w:tabs>
          <w:tab w:val="left" w:pos="567"/>
        </w:tabs>
        <w:spacing w:after="0"/>
        <w:jc w:val="both"/>
        <w:rPr>
          <w:sz w:val="28"/>
          <w:szCs w:val="28"/>
          <w:lang w:val="uk-UA"/>
        </w:rPr>
      </w:pPr>
      <w:r w:rsidRPr="00AA035F">
        <w:rPr>
          <w:color w:val="FF0000"/>
          <w:sz w:val="28"/>
          <w:szCs w:val="28"/>
          <w:lang w:val="uk-UA"/>
        </w:rPr>
        <w:t xml:space="preserve">   </w:t>
      </w:r>
      <w:r>
        <w:rPr>
          <w:color w:val="FF0000"/>
          <w:sz w:val="28"/>
          <w:szCs w:val="28"/>
          <w:lang w:val="uk-UA"/>
        </w:rPr>
        <w:tab/>
      </w:r>
      <w:r w:rsidRPr="00AA035F">
        <w:rPr>
          <w:color w:val="FF0000"/>
          <w:sz w:val="28"/>
          <w:szCs w:val="28"/>
          <w:lang w:val="uk-UA"/>
        </w:rPr>
        <w:t xml:space="preserve"> </w:t>
      </w:r>
      <w:r>
        <w:rPr>
          <w:color w:val="FF0000"/>
          <w:sz w:val="28"/>
          <w:szCs w:val="28"/>
          <w:lang w:val="uk-UA"/>
        </w:rPr>
        <w:tab/>
      </w:r>
      <w:r w:rsidRPr="00AA035F">
        <w:rPr>
          <w:sz w:val="28"/>
          <w:szCs w:val="28"/>
          <w:lang w:val="uk-UA"/>
        </w:rPr>
        <w:t>Надходження від туристичного збору склали 70,7 тис. грн.</w:t>
      </w:r>
      <w:r w:rsidRPr="00AA035F">
        <w:rPr>
          <w:sz w:val="28"/>
          <w:szCs w:val="28"/>
          <w:highlight w:val="yellow"/>
          <w:lang w:val="uk-UA"/>
        </w:rPr>
        <w:t xml:space="preserve">                  </w:t>
      </w:r>
    </w:p>
    <w:p w:rsidR="00677EEF" w:rsidRPr="00AA035F" w:rsidRDefault="00677EEF" w:rsidP="00677EEF">
      <w:pPr>
        <w:pStyle w:val="ab"/>
        <w:tabs>
          <w:tab w:val="left" w:pos="709"/>
        </w:tabs>
        <w:spacing w:after="0"/>
        <w:ind w:left="0" w:firstLine="567"/>
        <w:jc w:val="both"/>
        <w:rPr>
          <w:sz w:val="28"/>
          <w:szCs w:val="28"/>
          <w:lang w:val="uk-UA"/>
        </w:rPr>
      </w:pPr>
      <w:r>
        <w:rPr>
          <w:sz w:val="28"/>
          <w:szCs w:val="28"/>
          <w:lang w:val="uk-UA"/>
        </w:rPr>
        <w:tab/>
      </w:r>
      <w:r w:rsidRPr="00AA035F">
        <w:rPr>
          <w:sz w:val="28"/>
          <w:szCs w:val="28"/>
          <w:lang w:val="uk-UA"/>
        </w:rPr>
        <w:t xml:space="preserve">Єдиного податку надійшло 31916,9 тис. грн, або 102,8% плану звітного періоду, в </w:t>
      </w:r>
      <w:proofErr w:type="spellStart"/>
      <w:r w:rsidRPr="00AA035F">
        <w:rPr>
          <w:sz w:val="28"/>
          <w:szCs w:val="28"/>
          <w:lang w:val="uk-UA"/>
        </w:rPr>
        <w:t>т.ч</w:t>
      </w:r>
      <w:proofErr w:type="spellEnd"/>
      <w:r w:rsidRPr="00AA035F">
        <w:rPr>
          <w:sz w:val="28"/>
          <w:szCs w:val="28"/>
          <w:lang w:val="uk-UA"/>
        </w:rPr>
        <w:t>. (єдиного податку з сільськогосподарських товаровиробників становить 3414,1 тис. грн).</w:t>
      </w:r>
    </w:p>
    <w:p w:rsidR="00677EEF" w:rsidRPr="00AA035F" w:rsidRDefault="00677EEF" w:rsidP="00677EEF">
      <w:pPr>
        <w:pStyle w:val="2"/>
        <w:spacing w:after="0" w:line="240" w:lineRule="auto"/>
        <w:ind w:firstLine="708"/>
        <w:rPr>
          <w:b/>
          <w:sz w:val="28"/>
          <w:szCs w:val="28"/>
          <w:lang w:val="uk-UA"/>
        </w:rPr>
      </w:pPr>
      <w:r w:rsidRPr="00AA035F">
        <w:rPr>
          <w:sz w:val="28"/>
          <w:szCs w:val="28"/>
          <w:lang w:val="uk-UA"/>
        </w:rPr>
        <w:t xml:space="preserve">Адміністративних штрафів та штрафних санкцій надійшло 98,0 тис. грн. </w:t>
      </w:r>
    </w:p>
    <w:p w:rsidR="00677EEF" w:rsidRPr="00AA035F" w:rsidRDefault="00677EEF" w:rsidP="00677EEF">
      <w:pPr>
        <w:pStyle w:val="2"/>
        <w:tabs>
          <w:tab w:val="left" w:pos="567"/>
        </w:tabs>
        <w:spacing w:after="0" w:line="240" w:lineRule="auto"/>
        <w:jc w:val="both"/>
        <w:rPr>
          <w:sz w:val="28"/>
          <w:szCs w:val="28"/>
          <w:lang w:val="uk-UA"/>
        </w:rPr>
      </w:pPr>
      <w:r w:rsidRPr="00AA035F">
        <w:rPr>
          <w:color w:val="FF0000"/>
          <w:sz w:val="28"/>
          <w:szCs w:val="28"/>
          <w:lang w:val="uk-UA"/>
        </w:rPr>
        <w:tab/>
      </w:r>
      <w:r>
        <w:rPr>
          <w:color w:val="FF0000"/>
          <w:sz w:val="28"/>
          <w:szCs w:val="28"/>
          <w:lang w:val="uk-UA"/>
        </w:rPr>
        <w:tab/>
      </w:r>
      <w:r w:rsidRPr="00AA035F">
        <w:rPr>
          <w:sz w:val="28"/>
          <w:szCs w:val="28"/>
          <w:lang w:val="uk-UA"/>
        </w:rPr>
        <w:t xml:space="preserve">Плати за встановлення земельного сервітуту надійшло 142,5 тис. грн. </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 xml:space="preserve">Плати за надання адміністративних послуг надійшло в сумі 1952,2 тис. грн,   або 88,2 %  плану звітного періоду.           </w:t>
      </w:r>
    </w:p>
    <w:p w:rsidR="00677EEF" w:rsidRPr="00AA035F" w:rsidRDefault="00677EEF" w:rsidP="00677EEF">
      <w:pPr>
        <w:pStyle w:val="afd"/>
        <w:spacing w:before="0" w:beforeAutospacing="0" w:after="0" w:afterAutospacing="0"/>
        <w:jc w:val="both"/>
        <w:rPr>
          <w:sz w:val="28"/>
          <w:szCs w:val="28"/>
          <w:lang w:val="uk-UA"/>
        </w:rPr>
      </w:pPr>
      <w:r w:rsidRPr="00AA035F">
        <w:rPr>
          <w:sz w:val="28"/>
          <w:szCs w:val="28"/>
          <w:lang w:val="uk-UA"/>
        </w:rPr>
        <w:t xml:space="preserve">         </w:t>
      </w:r>
      <w:r>
        <w:rPr>
          <w:sz w:val="28"/>
          <w:szCs w:val="28"/>
          <w:lang w:val="uk-UA"/>
        </w:rPr>
        <w:tab/>
      </w:r>
      <w:r w:rsidRPr="00AA035F">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19,7 тис. грн.</w:t>
      </w:r>
    </w:p>
    <w:p w:rsidR="00677EEF" w:rsidRPr="00AA035F" w:rsidRDefault="00677EEF" w:rsidP="00677EEF">
      <w:pPr>
        <w:pStyle w:val="ab"/>
        <w:spacing w:after="0"/>
        <w:jc w:val="both"/>
        <w:rPr>
          <w:sz w:val="28"/>
          <w:szCs w:val="28"/>
          <w:lang w:val="uk-UA"/>
        </w:rPr>
      </w:pPr>
      <w:r w:rsidRPr="00AA035F">
        <w:rPr>
          <w:color w:val="FF0000"/>
          <w:sz w:val="28"/>
          <w:szCs w:val="28"/>
          <w:lang w:val="uk-UA"/>
        </w:rPr>
        <w:t xml:space="preserve">     </w:t>
      </w:r>
      <w:r>
        <w:rPr>
          <w:color w:val="FF0000"/>
          <w:sz w:val="28"/>
          <w:szCs w:val="28"/>
          <w:lang w:val="uk-UA"/>
        </w:rPr>
        <w:tab/>
      </w:r>
      <w:r w:rsidRPr="00AA035F">
        <w:rPr>
          <w:sz w:val="28"/>
          <w:szCs w:val="28"/>
          <w:lang w:val="uk-UA"/>
        </w:rPr>
        <w:t xml:space="preserve">По державному миту надходження  склали 1,7 тис. грн.        </w:t>
      </w:r>
    </w:p>
    <w:p w:rsidR="00677EEF" w:rsidRPr="00AA035F" w:rsidRDefault="00677EEF" w:rsidP="00677EEF">
      <w:pPr>
        <w:pStyle w:val="ab"/>
        <w:tabs>
          <w:tab w:val="left" w:pos="567"/>
        </w:tabs>
        <w:spacing w:after="0"/>
        <w:ind w:left="0" w:firstLine="567"/>
        <w:jc w:val="both"/>
        <w:rPr>
          <w:sz w:val="28"/>
          <w:szCs w:val="28"/>
          <w:lang w:val="uk-UA"/>
        </w:rPr>
      </w:pPr>
      <w:r>
        <w:rPr>
          <w:sz w:val="28"/>
          <w:szCs w:val="28"/>
          <w:lang w:val="uk-UA"/>
        </w:rPr>
        <w:tab/>
      </w:r>
      <w:r w:rsidRPr="00AA035F">
        <w:rPr>
          <w:sz w:val="28"/>
          <w:szCs w:val="28"/>
          <w:lang w:val="uk-UA"/>
        </w:rPr>
        <w:t>Орендна плата за водні об'єкти надходження склали 55,2 тис. грн.</w:t>
      </w:r>
    </w:p>
    <w:p w:rsidR="00677EEF" w:rsidRPr="00AA035F" w:rsidRDefault="00677EEF" w:rsidP="00677EEF">
      <w:pPr>
        <w:pStyle w:val="ab"/>
        <w:tabs>
          <w:tab w:val="left" w:pos="709"/>
        </w:tabs>
        <w:spacing w:after="0"/>
        <w:ind w:left="0" w:firstLine="567"/>
        <w:jc w:val="both"/>
        <w:rPr>
          <w:sz w:val="28"/>
          <w:szCs w:val="28"/>
          <w:lang w:val="uk-UA"/>
        </w:rPr>
      </w:pPr>
      <w:r w:rsidRPr="00AA035F">
        <w:rPr>
          <w:color w:val="FF0000"/>
          <w:sz w:val="28"/>
          <w:szCs w:val="28"/>
          <w:lang w:val="uk-UA"/>
        </w:rPr>
        <w:t xml:space="preserve"> </w:t>
      </w:r>
      <w:r>
        <w:rPr>
          <w:color w:val="FF0000"/>
          <w:sz w:val="28"/>
          <w:szCs w:val="28"/>
          <w:lang w:val="uk-UA"/>
        </w:rPr>
        <w:tab/>
      </w:r>
      <w:r w:rsidRPr="00AA035F">
        <w:rPr>
          <w:sz w:val="28"/>
          <w:szCs w:val="28"/>
          <w:lang w:val="uk-UA"/>
        </w:rPr>
        <w:t>Інші надходження склали 758,5 тис. грн (в тому числі плата за тимчасове користування місцем, що перебуває у комунальній  власності для розміщення конструкцій зовнішньої реклами в сумі  101,8 тис. грн).</w:t>
      </w:r>
    </w:p>
    <w:p w:rsidR="00677EEF" w:rsidRPr="00AA035F" w:rsidRDefault="00677EEF" w:rsidP="00677EEF">
      <w:pPr>
        <w:pStyle w:val="ab"/>
        <w:tabs>
          <w:tab w:val="left" w:pos="567"/>
        </w:tabs>
        <w:spacing w:after="0"/>
        <w:ind w:left="0" w:firstLine="567"/>
        <w:jc w:val="both"/>
        <w:rPr>
          <w:sz w:val="28"/>
          <w:szCs w:val="28"/>
          <w:lang w:val="uk-UA"/>
        </w:rPr>
      </w:pPr>
      <w:r w:rsidRPr="00AA035F">
        <w:rPr>
          <w:color w:val="FF0000"/>
          <w:sz w:val="28"/>
          <w:szCs w:val="28"/>
          <w:lang w:val="uk-UA"/>
        </w:rPr>
        <w:t xml:space="preserve">  </w:t>
      </w:r>
      <w:r w:rsidRPr="00AA035F">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794,2 тис. грн.           </w:t>
      </w:r>
    </w:p>
    <w:p w:rsidR="00677EEF" w:rsidRPr="00AA035F" w:rsidRDefault="00677EEF" w:rsidP="00677EEF">
      <w:pPr>
        <w:tabs>
          <w:tab w:val="left" w:pos="567"/>
        </w:tabs>
        <w:ind w:firstLine="567"/>
        <w:jc w:val="both"/>
        <w:rPr>
          <w:sz w:val="28"/>
          <w:szCs w:val="28"/>
          <w:lang w:val="uk-UA"/>
        </w:rPr>
      </w:pPr>
      <w:r w:rsidRPr="00AA035F">
        <w:rPr>
          <w:color w:val="FF0000"/>
          <w:sz w:val="28"/>
          <w:szCs w:val="28"/>
          <w:lang w:val="uk-UA"/>
        </w:rPr>
        <w:lastRenderedPageBreak/>
        <w:t xml:space="preserve"> </w:t>
      </w:r>
      <w:r w:rsidRPr="00AA035F">
        <w:rPr>
          <w:sz w:val="28"/>
          <w:szCs w:val="28"/>
          <w:lang w:val="uk-UA"/>
        </w:rPr>
        <w:t xml:space="preserve">До спеціального  фонду  бюджету за січень - червень 2025 року надійшло податків та інших платежів в сумі 7742,4 тис. грн, або 121,5 %  плану за звітний період, а саме: </w:t>
      </w:r>
    </w:p>
    <w:p w:rsidR="00677EEF" w:rsidRPr="00AA035F" w:rsidRDefault="00677EEF" w:rsidP="00677EEF">
      <w:pPr>
        <w:pStyle w:val="ab"/>
        <w:spacing w:after="0"/>
        <w:ind w:left="0"/>
        <w:jc w:val="both"/>
        <w:rPr>
          <w:sz w:val="28"/>
          <w:szCs w:val="28"/>
          <w:lang w:val="uk-UA"/>
        </w:rPr>
      </w:pPr>
      <w:r w:rsidRPr="00AA035F">
        <w:rPr>
          <w:color w:val="FF0000"/>
          <w:sz w:val="28"/>
          <w:szCs w:val="28"/>
          <w:lang w:val="uk-UA"/>
        </w:rPr>
        <w:t xml:space="preserve">          </w:t>
      </w:r>
      <w:r w:rsidRPr="00AA035F">
        <w:rPr>
          <w:sz w:val="28"/>
          <w:szCs w:val="28"/>
          <w:lang w:val="uk-UA"/>
        </w:rPr>
        <w:t>- екологічного податку  надійшло 149,9 тис. грн;</w:t>
      </w:r>
    </w:p>
    <w:p w:rsidR="00677EEF" w:rsidRPr="00AA035F" w:rsidRDefault="00677EEF" w:rsidP="00677EEF">
      <w:pPr>
        <w:pStyle w:val="ab"/>
        <w:spacing w:after="0"/>
        <w:ind w:left="0" w:firstLine="708"/>
        <w:jc w:val="both"/>
        <w:rPr>
          <w:sz w:val="28"/>
          <w:szCs w:val="28"/>
          <w:lang w:val="uk-UA"/>
        </w:rPr>
      </w:pPr>
      <w:r>
        <w:rPr>
          <w:sz w:val="28"/>
          <w:szCs w:val="28"/>
          <w:lang w:val="uk-UA"/>
        </w:rPr>
        <w:t xml:space="preserve">- </w:t>
      </w:r>
      <w:r w:rsidRPr="00AA035F">
        <w:rPr>
          <w:sz w:val="28"/>
          <w:szCs w:val="28"/>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23,2 тис. грн;</w:t>
      </w:r>
    </w:p>
    <w:p w:rsidR="00677EEF" w:rsidRDefault="00677EEF" w:rsidP="00677EEF">
      <w:pPr>
        <w:pStyle w:val="ab"/>
        <w:tabs>
          <w:tab w:val="num" w:pos="0"/>
        </w:tabs>
        <w:spacing w:after="0"/>
        <w:ind w:left="0"/>
        <w:jc w:val="both"/>
        <w:rPr>
          <w:sz w:val="28"/>
          <w:szCs w:val="28"/>
          <w:lang w:val="uk-UA"/>
        </w:rPr>
      </w:pPr>
      <w:r>
        <w:rPr>
          <w:sz w:val="28"/>
          <w:szCs w:val="28"/>
          <w:lang w:val="uk-UA"/>
        </w:rPr>
        <w:tab/>
        <w:t xml:space="preserve">- </w:t>
      </w:r>
      <w:r w:rsidRPr="00AA035F">
        <w:rPr>
          <w:sz w:val="28"/>
          <w:szCs w:val="28"/>
          <w:lang w:val="uk-UA"/>
        </w:rPr>
        <w:t>до бюджету розвитку надійшло 3847,6 тис. грн (кошти від продажу земельних ділянок несільськогосподарського призначення у сумі – 3847,6 тис. грн);</w:t>
      </w:r>
    </w:p>
    <w:p w:rsidR="00677EEF" w:rsidRDefault="00677EEF" w:rsidP="00677EEF">
      <w:pPr>
        <w:pStyle w:val="ab"/>
        <w:tabs>
          <w:tab w:val="num" w:pos="0"/>
        </w:tabs>
        <w:spacing w:after="0"/>
        <w:ind w:left="0"/>
        <w:jc w:val="both"/>
        <w:rPr>
          <w:sz w:val="28"/>
          <w:szCs w:val="28"/>
          <w:lang w:val="uk-UA"/>
        </w:rPr>
      </w:pPr>
      <w:r>
        <w:rPr>
          <w:sz w:val="28"/>
          <w:szCs w:val="28"/>
          <w:lang w:val="uk-UA"/>
        </w:rPr>
        <w:tab/>
        <w:t xml:space="preserve">- </w:t>
      </w:r>
      <w:r w:rsidRPr="00AA035F">
        <w:rPr>
          <w:sz w:val="28"/>
          <w:szCs w:val="28"/>
          <w:lang w:val="uk-UA"/>
        </w:rPr>
        <w:t>власних надходжень бюджетних установ  зараховано 3679,1 тис. грн;</w:t>
      </w:r>
    </w:p>
    <w:p w:rsidR="00677EEF" w:rsidRPr="00AA035F" w:rsidRDefault="00677EEF" w:rsidP="00677EEF">
      <w:pPr>
        <w:pStyle w:val="ab"/>
        <w:tabs>
          <w:tab w:val="num" w:pos="0"/>
        </w:tabs>
        <w:spacing w:after="0"/>
        <w:ind w:left="0"/>
        <w:jc w:val="both"/>
        <w:rPr>
          <w:sz w:val="28"/>
          <w:szCs w:val="28"/>
          <w:lang w:val="uk-UA"/>
        </w:rPr>
      </w:pPr>
      <w:r>
        <w:rPr>
          <w:sz w:val="28"/>
          <w:szCs w:val="28"/>
          <w:lang w:val="uk-UA"/>
        </w:rPr>
        <w:tab/>
        <w:t xml:space="preserve">- </w:t>
      </w:r>
      <w:r w:rsidRPr="00AA035F">
        <w:rPr>
          <w:sz w:val="28"/>
          <w:szCs w:val="28"/>
          <w:lang w:val="uk-UA"/>
        </w:rPr>
        <w:t>цільові  фонди - надходження склали 42,6 тис. грн (добровільних внесків на благоустрій та впорядкування кладовищ в сумі 42,6 тис. грн).</w:t>
      </w:r>
    </w:p>
    <w:p w:rsidR="00677EEF" w:rsidRPr="00AA035F" w:rsidRDefault="00677EEF" w:rsidP="00677EEF">
      <w:pPr>
        <w:pStyle w:val="2"/>
        <w:tabs>
          <w:tab w:val="left" w:pos="567"/>
        </w:tabs>
        <w:spacing w:after="0" w:line="240" w:lineRule="auto"/>
        <w:ind w:firstLine="567"/>
        <w:jc w:val="both"/>
        <w:rPr>
          <w:color w:val="FF0000"/>
          <w:sz w:val="28"/>
          <w:szCs w:val="28"/>
          <w:lang w:val="uk-UA"/>
        </w:rPr>
      </w:pPr>
    </w:p>
    <w:p w:rsidR="00677EEF" w:rsidRPr="00D957D1" w:rsidRDefault="00677EEF" w:rsidP="00677EEF">
      <w:pPr>
        <w:pStyle w:val="ab"/>
        <w:tabs>
          <w:tab w:val="left" w:pos="567"/>
        </w:tabs>
        <w:spacing w:after="0"/>
        <w:ind w:left="0" w:firstLine="567"/>
        <w:jc w:val="both"/>
        <w:rPr>
          <w:sz w:val="28"/>
          <w:szCs w:val="28"/>
          <w:lang w:val="uk-UA"/>
        </w:rPr>
      </w:pPr>
      <w:r w:rsidRPr="00AA035F">
        <w:rPr>
          <w:sz w:val="28"/>
          <w:szCs w:val="28"/>
          <w:lang w:val="uk-UA"/>
        </w:rPr>
        <w:t xml:space="preserve"> </w:t>
      </w:r>
      <w:r w:rsidRPr="00AA035F">
        <w:rPr>
          <w:sz w:val="28"/>
          <w:szCs w:val="28"/>
          <w:lang w:val="uk-UA"/>
        </w:rPr>
        <w:tab/>
        <w:t>Видатки бюджету за січень - червень 2025 року проведені в сумі 262950,1 тис. грн, що на 40265,9 тис. грн, або на 11,8 %  більше аналогічного показника 2024 року. Рівень виконання річного плану (зі змінами) станов</w:t>
      </w:r>
      <w:r w:rsidRPr="00D957D1">
        <w:rPr>
          <w:sz w:val="28"/>
          <w:szCs w:val="28"/>
          <w:lang w:val="uk-UA"/>
        </w:rPr>
        <w:t>ить  51,4 %.</w:t>
      </w:r>
    </w:p>
    <w:p w:rsidR="00677EEF" w:rsidRPr="00FE4DB9" w:rsidRDefault="00677EEF" w:rsidP="00677EEF">
      <w:pPr>
        <w:jc w:val="both"/>
        <w:rPr>
          <w:sz w:val="28"/>
          <w:szCs w:val="28"/>
          <w:lang w:val="uk-UA"/>
        </w:rPr>
      </w:pPr>
      <w:r w:rsidRPr="00F110C0">
        <w:rPr>
          <w:color w:val="FF0000"/>
          <w:sz w:val="28"/>
          <w:szCs w:val="28"/>
          <w:lang w:val="uk-UA"/>
        </w:rPr>
        <w:tab/>
      </w:r>
      <w:r w:rsidRPr="00FE4DB9">
        <w:rPr>
          <w:sz w:val="28"/>
          <w:szCs w:val="28"/>
          <w:lang w:val="uk-UA"/>
        </w:rPr>
        <w:t>Видатки загального фонду бюджету за звітний період становлять 252437,4 тис. грн. Проти аналогічного періоду 2024 року вони збільшилися на 44218,3 тис. грн, або на 21,2 %. Рівень виконання  річного плану (зі змінами) становить 54,4 %.</w:t>
      </w:r>
    </w:p>
    <w:p w:rsidR="00677EEF" w:rsidRPr="00EE22F5" w:rsidRDefault="00677EEF" w:rsidP="00677EEF">
      <w:pPr>
        <w:jc w:val="both"/>
        <w:rPr>
          <w:sz w:val="28"/>
          <w:szCs w:val="28"/>
          <w:lang w:val="uk-UA"/>
        </w:rPr>
      </w:pPr>
      <w:r w:rsidRPr="00F110C0">
        <w:rPr>
          <w:color w:val="FF0000"/>
          <w:sz w:val="28"/>
          <w:szCs w:val="28"/>
          <w:lang w:val="uk-UA"/>
        </w:rPr>
        <w:tab/>
      </w:r>
      <w:r w:rsidRPr="00EE22F5">
        <w:rPr>
          <w:sz w:val="28"/>
          <w:szCs w:val="28"/>
          <w:lang w:val="uk-UA"/>
        </w:rPr>
        <w:t>Видатки спеціального фонду бюджету становлять 10512,7 тис. грн. Проти аналогічного періоду 2024 року вони зменшилися на 3952,4 тис. грн. Рівень виконання річного плану (зі змінами) становить 22,1 %.</w:t>
      </w:r>
    </w:p>
    <w:p w:rsidR="00677EEF" w:rsidRPr="00473DBF" w:rsidRDefault="00677EEF" w:rsidP="00677EEF">
      <w:pPr>
        <w:tabs>
          <w:tab w:val="left" w:pos="720"/>
          <w:tab w:val="left" w:pos="900"/>
        </w:tabs>
        <w:jc w:val="both"/>
        <w:rPr>
          <w:sz w:val="28"/>
          <w:szCs w:val="28"/>
          <w:lang w:val="uk-UA"/>
        </w:rPr>
      </w:pPr>
      <w:r w:rsidRPr="00F110C0">
        <w:rPr>
          <w:color w:val="FF0000"/>
          <w:sz w:val="28"/>
          <w:szCs w:val="28"/>
          <w:lang w:val="uk-UA"/>
        </w:rPr>
        <w:tab/>
      </w:r>
      <w:r w:rsidRPr="00473DBF">
        <w:rPr>
          <w:sz w:val="28"/>
          <w:szCs w:val="28"/>
          <w:lang w:val="uk-UA"/>
        </w:rPr>
        <w:t>Із загального обсягу видатки за захищеними  статтями проведені в сумі    223174,2 тис. грн, або 88,4 % видатків загального фонду, з них:</w:t>
      </w:r>
    </w:p>
    <w:p w:rsidR="00677EEF" w:rsidRPr="00473DBF" w:rsidRDefault="00677EEF" w:rsidP="00677EEF">
      <w:pPr>
        <w:ind w:firstLine="708"/>
        <w:jc w:val="both"/>
        <w:rPr>
          <w:sz w:val="28"/>
          <w:szCs w:val="28"/>
          <w:lang w:val="uk-UA"/>
        </w:rPr>
      </w:pPr>
      <w:r w:rsidRPr="00473DBF">
        <w:rPr>
          <w:sz w:val="28"/>
          <w:szCs w:val="28"/>
          <w:lang w:val="uk-UA"/>
        </w:rPr>
        <w:t xml:space="preserve">- оплата праці працівників бюджетних установ </w:t>
      </w:r>
    </w:p>
    <w:p w:rsidR="00677EEF" w:rsidRPr="00473DBF" w:rsidRDefault="00677EEF" w:rsidP="00677EEF">
      <w:pPr>
        <w:jc w:val="both"/>
        <w:rPr>
          <w:sz w:val="28"/>
          <w:szCs w:val="28"/>
          <w:lang w:val="uk-UA"/>
        </w:rPr>
      </w:pPr>
      <w:r w:rsidRPr="00473DBF">
        <w:rPr>
          <w:sz w:val="28"/>
          <w:szCs w:val="28"/>
          <w:lang w:val="uk-UA"/>
        </w:rPr>
        <w:tab/>
        <w:t xml:space="preserve">з нарахуваннями на  заробітну плату - </w:t>
      </w:r>
      <w:r w:rsidRPr="00473DBF">
        <w:rPr>
          <w:sz w:val="28"/>
          <w:szCs w:val="28"/>
          <w:lang w:val="uk-UA"/>
        </w:rPr>
        <w:tab/>
        <w:t xml:space="preserve">                          205536,3 тис. грн;</w:t>
      </w:r>
    </w:p>
    <w:p w:rsidR="00677EEF" w:rsidRPr="00473DBF" w:rsidRDefault="00677EEF" w:rsidP="00677EEF">
      <w:pPr>
        <w:jc w:val="both"/>
        <w:rPr>
          <w:sz w:val="28"/>
          <w:szCs w:val="28"/>
          <w:lang w:val="uk-UA"/>
        </w:rPr>
      </w:pPr>
      <w:r w:rsidRPr="00473DBF">
        <w:rPr>
          <w:sz w:val="28"/>
          <w:szCs w:val="28"/>
          <w:lang w:val="uk-UA"/>
        </w:rPr>
        <w:tab/>
        <w:t>- медикаменти та перев’язувальні  матеріали -                         24,7  тис. грн;</w:t>
      </w:r>
    </w:p>
    <w:p w:rsidR="00677EEF" w:rsidRPr="00473DBF" w:rsidRDefault="00677EEF" w:rsidP="00677EEF">
      <w:pPr>
        <w:jc w:val="both"/>
        <w:rPr>
          <w:sz w:val="28"/>
          <w:szCs w:val="28"/>
          <w:lang w:val="uk-UA"/>
        </w:rPr>
      </w:pPr>
      <w:r w:rsidRPr="00473DBF">
        <w:rPr>
          <w:sz w:val="28"/>
          <w:szCs w:val="28"/>
          <w:lang w:val="uk-UA"/>
        </w:rPr>
        <w:tab/>
        <w:t xml:space="preserve">- продукти  харчування -                                                          1385,6 тис. грн;  </w:t>
      </w:r>
    </w:p>
    <w:p w:rsidR="00677EEF" w:rsidRPr="00473DBF" w:rsidRDefault="00677EEF" w:rsidP="00677EEF">
      <w:pPr>
        <w:jc w:val="both"/>
        <w:rPr>
          <w:sz w:val="28"/>
          <w:szCs w:val="28"/>
          <w:lang w:val="uk-UA"/>
        </w:rPr>
      </w:pPr>
      <w:r w:rsidRPr="00473DBF">
        <w:rPr>
          <w:sz w:val="28"/>
          <w:szCs w:val="28"/>
          <w:lang w:val="uk-UA"/>
        </w:rPr>
        <w:tab/>
        <w:t>- оплата послуг (крім комунальних) -                                           7,8 тис. грн;</w:t>
      </w:r>
    </w:p>
    <w:p w:rsidR="00677EEF" w:rsidRPr="00473DBF" w:rsidRDefault="00677EEF" w:rsidP="00677EEF">
      <w:pPr>
        <w:jc w:val="both"/>
        <w:rPr>
          <w:sz w:val="28"/>
          <w:szCs w:val="28"/>
          <w:lang w:val="uk-UA"/>
        </w:rPr>
      </w:pPr>
      <w:r w:rsidRPr="00473DBF">
        <w:rPr>
          <w:sz w:val="28"/>
          <w:szCs w:val="28"/>
          <w:lang w:val="uk-UA"/>
        </w:rPr>
        <w:tab/>
        <w:t xml:space="preserve">- оплата комунальних послуг та енергоносіїв  -                  10951,8 тис. грн;                      </w:t>
      </w:r>
    </w:p>
    <w:p w:rsidR="00677EEF" w:rsidRPr="00473DBF" w:rsidRDefault="00677EEF" w:rsidP="00677EEF">
      <w:pPr>
        <w:ind w:firstLine="708"/>
        <w:jc w:val="both"/>
        <w:rPr>
          <w:sz w:val="28"/>
          <w:szCs w:val="28"/>
          <w:lang w:val="uk-UA"/>
        </w:rPr>
      </w:pPr>
      <w:r w:rsidRPr="00473DBF">
        <w:rPr>
          <w:sz w:val="28"/>
          <w:szCs w:val="28"/>
          <w:lang w:val="uk-UA"/>
        </w:rPr>
        <w:t xml:space="preserve">- дослідження і розробки, окремі заходи </w:t>
      </w:r>
    </w:p>
    <w:p w:rsidR="00677EEF" w:rsidRPr="00473DBF" w:rsidRDefault="00677EEF" w:rsidP="00677EEF">
      <w:pPr>
        <w:ind w:firstLine="708"/>
        <w:jc w:val="both"/>
        <w:rPr>
          <w:sz w:val="28"/>
          <w:szCs w:val="28"/>
          <w:lang w:val="uk-UA"/>
        </w:rPr>
      </w:pPr>
      <w:r w:rsidRPr="00473DBF">
        <w:rPr>
          <w:sz w:val="28"/>
          <w:szCs w:val="28"/>
          <w:lang w:val="uk-UA"/>
        </w:rPr>
        <w:t xml:space="preserve">  по реалізації  державних (регіональних) програм -               153,2 тис. грн;</w:t>
      </w:r>
    </w:p>
    <w:p w:rsidR="00677EEF" w:rsidRPr="00473DBF" w:rsidRDefault="00677EEF" w:rsidP="00677EEF">
      <w:pPr>
        <w:ind w:firstLine="708"/>
        <w:jc w:val="both"/>
        <w:rPr>
          <w:sz w:val="28"/>
          <w:szCs w:val="28"/>
          <w:lang w:val="uk-UA"/>
        </w:rPr>
      </w:pPr>
      <w:r w:rsidRPr="00473DBF">
        <w:rPr>
          <w:sz w:val="28"/>
          <w:szCs w:val="28"/>
          <w:lang w:val="uk-UA"/>
        </w:rPr>
        <w:t>- соціальне забезпечення -                                                        5114,8 тис. грн.</w:t>
      </w:r>
    </w:p>
    <w:p w:rsidR="00677EEF" w:rsidRPr="00F110C0" w:rsidRDefault="00677EEF" w:rsidP="00677EEF">
      <w:pPr>
        <w:ind w:firstLine="708"/>
        <w:jc w:val="both"/>
        <w:rPr>
          <w:color w:val="FF0000"/>
          <w:sz w:val="28"/>
          <w:szCs w:val="28"/>
          <w:lang w:val="uk-UA"/>
        </w:rPr>
      </w:pPr>
    </w:p>
    <w:p w:rsidR="00677EEF" w:rsidRPr="00B564F4" w:rsidRDefault="00677EEF" w:rsidP="00677EEF">
      <w:pPr>
        <w:jc w:val="both"/>
        <w:rPr>
          <w:sz w:val="28"/>
          <w:szCs w:val="28"/>
          <w:lang w:val="uk-UA"/>
        </w:rPr>
      </w:pPr>
      <w:r w:rsidRPr="00F110C0">
        <w:rPr>
          <w:i/>
          <w:color w:val="FF0000"/>
          <w:sz w:val="28"/>
          <w:szCs w:val="28"/>
          <w:lang w:val="uk-UA"/>
        </w:rPr>
        <w:tab/>
      </w:r>
      <w:r w:rsidRPr="00B564F4">
        <w:rPr>
          <w:sz w:val="28"/>
          <w:szCs w:val="28"/>
          <w:lang w:val="uk-UA"/>
        </w:rPr>
        <w:t>На освітянську галузь за січень - червень 2025 року використано 157854,4 тис. грн  бюджетних коштів або 6</w:t>
      </w:r>
      <w:r>
        <w:rPr>
          <w:sz w:val="28"/>
          <w:szCs w:val="28"/>
          <w:lang w:val="uk-UA"/>
        </w:rPr>
        <w:t>0,0</w:t>
      </w:r>
      <w:r w:rsidRPr="00B564F4">
        <w:rPr>
          <w:sz w:val="28"/>
          <w:szCs w:val="28"/>
          <w:lang w:val="uk-UA"/>
        </w:rPr>
        <w:t xml:space="preserve"> % загального бюджету, що на 29095,3 тис. грн,  або на 22,6 % більше аналогічного показника 2024 року. Рівень виконан</w:t>
      </w:r>
      <w:r>
        <w:rPr>
          <w:sz w:val="28"/>
          <w:szCs w:val="28"/>
          <w:lang w:val="uk-UA"/>
        </w:rPr>
        <w:t xml:space="preserve">ня річного плану  (зі змінами)  - </w:t>
      </w:r>
      <w:r w:rsidRPr="00B564F4">
        <w:rPr>
          <w:sz w:val="28"/>
          <w:szCs w:val="28"/>
          <w:lang w:val="uk-UA"/>
        </w:rPr>
        <w:t>66,6 %.</w:t>
      </w:r>
    </w:p>
    <w:p w:rsidR="00677EEF" w:rsidRPr="00545055" w:rsidRDefault="00677EEF" w:rsidP="00677EEF">
      <w:pPr>
        <w:ind w:firstLine="708"/>
        <w:jc w:val="both"/>
        <w:rPr>
          <w:sz w:val="28"/>
          <w:szCs w:val="28"/>
          <w:lang w:val="uk-UA"/>
        </w:rPr>
      </w:pPr>
      <w:r w:rsidRPr="00545055">
        <w:rPr>
          <w:sz w:val="28"/>
          <w:szCs w:val="28"/>
          <w:lang w:val="uk-UA"/>
        </w:rPr>
        <w:t>13364,3 тис. грн, або 5,</w:t>
      </w:r>
      <w:r>
        <w:rPr>
          <w:sz w:val="28"/>
          <w:szCs w:val="28"/>
          <w:lang w:val="uk-UA"/>
        </w:rPr>
        <w:t>1</w:t>
      </w:r>
      <w:r w:rsidRPr="00545055">
        <w:rPr>
          <w:sz w:val="28"/>
          <w:szCs w:val="28"/>
          <w:lang w:val="uk-UA"/>
        </w:rPr>
        <w:t xml:space="preserve"> % загального бюджету, складають видатки на  соціальний  захист та соціальне забезпечення населення, що на 2706,1 тис. грн, або на 25,4 % більше аналогічного показника 2024 року. Рівень виконання річного плану (зі змінами)  – 27,3 %. </w:t>
      </w:r>
    </w:p>
    <w:p w:rsidR="00677EEF" w:rsidRPr="004758AD" w:rsidRDefault="00677EEF" w:rsidP="00677EEF">
      <w:pPr>
        <w:ind w:firstLine="708"/>
        <w:jc w:val="both"/>
        <w:rPr>
          <w:sz w:val="28"/>
          <w:szCs w:val="28"/>
          <w:lang w:val="uk-UA"/>
        </w:rPr>
      </w:pPr>
      <w:r w:rsidRPr="004758AD">
        <w:rPr>
          <w:sz w:val="28"/>
          <w:szCs w:val="28"/>
          <w:lang w:val="uk-UA"/>
        </w:rPr>
        <w:t xml:space="preserve">На утримання органів місцевого самоврядування використано 53637,1 тис. грн, або </w:t>
      </w:r>
      <w:r>
        <w:rPr>
          <w:sz w:val="28"/>
          <w:szCs w:val="28"/>
          <w:lang w:val="uk-UA"/>
        </w:rPr>
        <w:t>20,4</w:t>
      </w:r>
      <w:r w:rsidRPr="004758AD">
        <w:rPr>
          <w:sz w:val="28"/>
          <w:szCs w:val="28"/>
          <w:lang w:val="uk-UA"/>
        </w:rPr>
        <w:t xml:space="preserve"> % загального бюджету, що на 15084,5 тис. грн більше </w:t>
      </w:r>
      <w:r w:rsidRPr="004758AD">
        <w:rPr>
          <w:sz w:val="28"/>
          <w:szCs w:val="28"/>
          <w:lang w:val="uk-UA"/>
        </w:rPr>
        <w:lastRenderedPageBreak/>
        <w:t>аналогічного показника 2024 року. Рівень виконання запланованого обсягу річного плану (зі змінами)  – 46,5 %.</w:t>
      </w:r>
    </w:p>
    <w:p w:rsidR="00677EEF" w:rsidRPr="00E51F3B" w:rsidRDefault="00677EEF" w:rsidP="00677EEF">
      <w:pPr>
        <w:ind w:firstLine="708"/>
        <w:jc w:val="both"/>
        <w:rPr>
          <w:sz w:val="28"/>
          <w:szCs w:val="28"/>
          <w:lang w:val="uk-UA"/>
        </w:rPr>
      </w:pPr>
      <w:r w:rsidRPr="00E51F3B">
        <w:rPr>
          <w:sz w:val="28"/>
          <w:szCs w:val="28"/>
          <w:lang w:val="uk-UA"/>
        </w:rPr>
        <w:t xml:space="preserve">12890,7 тис. грн складають видатки на охорону здоров’я, або </w:t>
      </w:r>
      <w:r>
        <w:rPr>
          <w:sz w:val="28"/>
          <w:szCs w:val="28"/>
          <w:lang w:val="uk-UA"/>
        </w:rPr>
        <w:t>4,9</w:t>
      </w:r>
      <w:r w:rsidRPr="00E51F3B">
        <w:rPr>
          <w:sz w:val="28"/>
          <w:szCs w:val="28"/>
          <w:lang w:val="uk-UA"/>
        </w:rPr>
        <w:t xml:space="preserve"> % загального бюджету, що на 3949,3 тис. грн або на 1,4 %  більше аналогічного показника 2024 року.  Рівень виконання річного плану (зі змінами) –  40,9 %. </w:t>
      </w:r>
    </w:p>
    <w:p w:rsidR="00677EEF" w:rsidRPr="00D92809" w:rsidRDefault="00677EEF" w:rsidP="00677EEF">
      <w:pPr>
        <w:ind w:firstLine="708"/>
        <w:jc w:val="both"/>
        <w:rPr>
          <w:sz w:val="28"/>
          <w:szCs w:val="28"/>
          <w:lang w:val="uk-UA"/>
        </w:rPr>
      </w:pPr>
      <w:r w:rsidRPr="00D92809">
        <w:rPr>
          <w:sz w:val="28"/>
          <w:szCs w:val="28"/>
          <w:lang w:val="uk-UA"/>
        </w:rPr>
        <w:t>Видатки на культурно - освітні заклади та заходи проведені в сумі 11529,3 тис. грн, або 4,</w:t>
      </w:r>
      <w:r>
        <w:rPr>
          <w:sz w:val="28"/>
          <w:szCs w:val="28"/>
          <w:lang w:val="uk-UA"/>
        </w:rPr>
        <w:t>4</w:t>
      </w:r>
      <w:r w:rsidRPr="00D92809">
        <w:rPr>
          <w:sz w:val="28"/>
          <w:szCs w:val="28"/>
          <w:lang w:val="uk-UA"/>
        </w:rPr>
        <w:t xml:space="preserve"> % загального бюджету, що на 672,3 тис. грн менше аналогічного показника 2024 року. Рівень виконання річного плану (зі змінами) – 44,3 %. </w:t>
      </w:r>
    </w:p>
    <w:p w:rsidR="00677EEF" w:rsidRPr="00EB3FC6" w:rsidRDefault="00677EEF" w:rsidP="00677EEF">
      <w:pPr>
        <w:ind w:firstLine="708"/>
        <w:jc w:val="both"/>
        <w:rPr>
          <w:sz w:val="28"/>
          <w:szCs w:val="28"/>
          <w:lang w:val="uk-UA"/>
        </w:rPr>
      </w:pPr>
      <w:r w:rsidRPr="00EB3FC6">
        <w:rPr>
          <w:sz w:val="28"/>
          <w:szCs w:val="28"/>
          <w:lang w:val="uk-UA"/>
        </w:rPr>
        <w:t>На проведення фізкультурно - спортивних заходів та утримання дитячо-юнацької спортивної школи використано 3251,0 тис. грн, або 1,</w:t>
      </w:r>
      <w:r>
        <w:rPr>
          <w:sz w:val="28"/>
          <w:szCs w:val="28"/>
          <w:lang w:val="uk-UA"/>
        </w:rPr>
        <w:t>2</w:t>
      </w:r>
      <w:r w:rsidRPr="00EB3FC6">
        <w:rPr>
          <w:sz w:val="28"/>
          <w:szCs w:val="28"/>
          <w:lang w:val="uk-UA"/>
        </w:rPr>
        <w:t xml:space="preserve"> % загального бюджету, що на 500,4 тис. грн більше аналогічного показника 2024 року. Рівень виконання річного плану (зі змінами) – 47,7 %. </w:t>
      </w:r>
    </w:p>
    <w:p w:rsidR="00677EEF" w:rsidRPr="00F66EF5" w:rsidRDefault="00677EEF" w:rsidP="00677EEF">
      <w:pPr>
        <w:ind w:firstLine="708"/>
        <w:jc w:val="both"/>
        <w:rPr>
          <w:sz w:val="28"/>
          <w:szCs w:val="28"/>
          <w:lang w:val="uk-UA"/>
        </w:rPr>
      </w:pPr>
      <w:r w:rsidRPr="00F66EF5">
        <w:rPr>
          <w:sz w:val="28"/>
          <w:szCs w:val="28"/>
          <w:lang w:val="uk-UA"/>
        </w:rPr>
        <w:t>6734,3 тис. грн бюджетних коштів використано на житлово-комунальне господарство, або 2,</w:t>
      </w:r>
      <w:r>
        <w:rPr>
          <w:sz w:val="28"/>
          <w:szCs w:val="28"/>
          <w:lang w:val="uk-UA"/>
        </w:rPr>
        <w:t>6</w:t>
      </w:r>
      <w:r w:rsidRPr="00F66EF5">
        <w:rPr>
          <w:sz w:val="28"/>
          <w:szCs w:val="28"/>
          <w:lang w:val="uk-UA"/>
        </w:rPr>
        <w:t xml:space="preserve"> % загального бюджету, що на 315,4 тис. грн менше аналогічного показника 2024 року. Рівень виконання річного плану (зі змінами) – 29,0 %. </w:t>
      </w:r>
    </w:p>
    <w:p w:rsidR="00677EEF" w:rsidRPr="00E7324A" w:rsidRDefault="00677EEF" w:rsidP="00677EEF">
      <w:pPr>
        <w:ind w:firstLine="708"/>
        <w:jc w:val="both"/>
        <w:rPr>
          <w:sz w:val="28"/>
          <w:szCs w:val="28"/>
          <w:lang w:val="uk-UA"/>
        </w:rPr>
      </w:pPr>
      <w:r w:rsidRPr="00E7324A">
        <w:rPr>
          <w:sz w:val="28"/>
          <w:szCs w:val="28"/>
          <w:lang w:val="uk-UA"/>
        </w:rPr>
        <w:t>1171,3 тис. грн бюджетних коштів використано на будівництво, дорожній фонд, програми та заходи, пов'язані з економічною діяльністю, або 0,</w:t>
      </w:r>
      <w:r>
        <w:rPr>
          <w:sz w:val="28"/>
          <w:szCs w:val="28"/>
          <w:lang w:val="uk-UA"/>
        </w:rPr>
        <w:t xml:space="preserve">5 </w:t>
      </w:r>
      <w:r w:rsidRPr="00E7324A">
        <w:rPr>
          <w:sz w:val="28"/>
          <w:szCs w:val="28"/>
          <w:lang w:val="uk-UA"/>
        </w:rPr>
        <w:t xml:space="preserve">% загального бюджету, що на 8749,4 тис. грн менше  аналогічного показника 2024 року.  Рівень виконання річного плану (зі змінами) – 8,0 %. </w:t>
      </w:r>
    </w:p>
    <w:p w:rsidR="00677EEF" w:rsidRPr="00E7324A" w:rsidRDefault="00677EEF" w:rsidP="00677EEF">
      <w:pPr>
        <w:ind w:firstLine="708"/>
        <w:jc w:val="both"/>
        <w:rPr>
          <w:sz w:val="28"/>
          <w:szCs w:val="28"/>
          <w:lang w:val="uk-UA"/>
        </w:rPr>
      </w:pPr>
      <w:r w:rsidRPr="00E7324A">
        <w:rPr>
          <w:sz w:val="28"/>
          <w:szCs w:val="28"/>
          <w:lang w:val="uk-UA"/>
        </w:rPr>
        <w:t xml:space="preserve">317,7 тис. грн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30,3 %. </w:t>
      </w:r>
    </w:p>
    <w:p w:rsidR="00677EEF" w:rsidRPr="00E6035D" w:rsidRDefault="00677EEF" w:rsidP="00677EEF">
      <w:pPr>
        <w:ind w:firstLine="708"/>
        <w:jc w:val="both"/>
        <w:rPr>
          <w:sz w:val="28"/>
          <w:szCs w:val="28"/>
          <w:lang w:val="uk-UA"/>
        </w:rPr>
      </w:pPr>
      <w:r w:rsidRPr="00F110C0">
        <w:rPr>
          <w:sz w:val="28"/>
          <w:szCs w:val="28"/>
          <w:lang w:val="uk-UA"/>
        </w:rPr>
        <w:t>Субвенція з місцевого бюджету державному бюджету на виконання програм соціально - економічного розвитку регіонів склала 2200,0 тис. грн або</w:t>
      </w:r>
      <w:r w:rsidRPr="00F110C0">
        <w:rPr>
          <w:color w:val="FF0000"/>
          <w:sz w:val="28"/>
          <w:szCs w:val="28"/>
          <w:lang w:val="uk-UA"/>
        </w:rPr>
        <w:t xml:space="preserve"> </w:t>
      </w:r>
      <w:r>
        <w:rPr>
          <w:sz w:val="28"/>
          <w:szCs w:val="28"/>
          <w:lang w:val="uk-UA"/>
        </w:rPr>
        <w:t xml:space="preserve">0,8 </w:t>
      </w:r>
      <w:r w:rsidRPr="00E6035D">
        <w:rPr>
          <w:sz w:val="28"/>
          <w:szCs w:val="28"/>
          <w:lang w:val="uk-UA"/>
        </w:rPr>
        <w:t>% загального бюджету, в тому числі:</w:t>
      </w:r>
    </w:p>
    <w:p w:rsidR="00677EEF" w:rsidRPr="00F110C0" w:rsidRDefault="00677EEF" w:rsidP="00677EEF">
      <w:pPr>
        <w:ind w:left="540"/>
        <w:jc w:val="both"/>
        <w:rPr>
          <w:i/>
          <w:sz w:val="28"/>
          <w:szCs w:val="28"/>
          <w:lang w:val="uk-UA"/>
        </w:rPr>
      </w:pPr>
      <w:r w:rsidRPr="00E6035D">
        <w:rPr>
          <w:i/>
          <w:sz w:val="28"/>
          <w:szCs w:val="28"/>
          <w:lang w:val="uk-UA"/>
        </w:rPr>
        <w:t>за загальним фондом бюджету – 500,0 тис. грн, з н</w:t>
      </w:r>
      <w:r w:rsidRPr="00F110C0">
        <w:rPr>
          <w:i/>
          <w:sz w:val="28"/>
          <w:szCs w:val="28"/>
          <w:lang w:val="uk-UA"/>
        </w:rPr>
        <w:t>их:</w:t>
      </w:r>
    </w:p>
    <w:p w:rsidR="00677EEF" w:rsidRPr="00F110C0" w:rsidRDefault="00677EEF" w:rsidP="00677EEF">
      <w:pPr>
        <w:numPr>
          <w:ilvl w:val="0"/>
          <w:numId w:val="5"/>
        </w:numPr>
        <w:ind w:left="0" w:firstLine="540"/>
        <w:jc w:val="both"/>
        <w:rPr>
          <w:sz w:val="28"/>
          <w:szCs w:val="28"/>
          <w:lang w:val="uk-UA"/>
        </w:rPr>
      </w:pPr>
      <w:r w:rsidRPr="00F110C0">
        <w:rPr>
          <w:sz w:val="28"/>
          <w:szCs w:val="28"/>
          <w:lang w:val="uk-UA"/>
        </w:rPr>
        <w:t>500,0 тис. грн в/ч 7010 для придбання будівельних матеріалів та інструментів для здійснення ремонту в палатах та у відділеннях;</w:t>
      </w:r>
    </w:p>
    <w:p w:rsidR="00677EEF" w:rsidRPr="00F110C0" w:rsidRDefault="00677EEF" w:rsidP="00677EEF">
      <w:pPr>
        <w:ind w:firstLine="540"/>
        <w:jc w:val="both"/>
        <w:rPr>
          <w:i/>
          <w:sz w:val="28"/>
          <w:szCs w:val="28"/>
          <w:lang w:val="uk-UA"/>
        </w:rPr>
      </w:pPr>
      <w:r w:rsidRPr="00F110C0">
        <w:rPr>
          <w:i/>
          <w:sz w:val="28"/>
          <w:szCs w:val="28"/>
          <w:lang w:val="uk-UA"/>
        </w:rPr>
        <w:t>за спеціальним фондом бюджету – 1700,0 тис. грн, з них:</w:t>
      </w:r>
    </w:p>
    <w:p w:rsidR="00677EEF" w:rsidRPr="00F110C0" w:rsidRDefault="00677EEF" w:rsidP="00677EEF">
      <w:pPr>
        <w:numPr>
          <w:ilvl w:val="0"/>
          <w:numId w:val="5"/>
        </w:numPr>
        <w:ind w:left="0" w:firstLine="540"/>
        <w:jc w:val="both"/>
        <w:rPr>
          <w:sz w:val="28"/>
          <w:szCs w:val="28"/>
          <w:lang w:val="uk-UA"/>
        </w:rPr>
      </w:pPr>
      <w:r w:rsidRPr="00F110C0">
        <w:rPr>
          <w:sz w:val="28"/>
          <w:szCs w:val="28"/>
          <w:lang w:val="uk-UA"/>
        </w:rPr>
        <w:t>700,0 тис. грн Управлінню СБУ у Вінницькій області для придбання службового автомобіля;</w:t>
      </w:r>
    </w:p>
    <w:p w:rsidR="00677EEF" w:rsidRPr="00F110C0" w:rsidRDefault="00677EEF" w:rsidP="00677EEF">
      <w:pPr>
        <w:numPr>
          <w:ilvl w:val="0"/>
          <w:numId w:val="5"/>
        </w:numPr>
        <w:ind w:left="0" w:firstLine="540"/>
        <w:jc w:val="both"/>
        <w:rPr>
          <w:sz w:val="28"/>
          <w:szCs w:val="28"/>
          <w:lang w:val="uk-UA"/>
        </w:rPr>
      </w:pPr>
      <w:r w:rsidRPr="00F110C0">
        <w:rPr>
          <w:sz w:val="28"/>
          <w:szCs w:val="28"/>
          <w:lang w:val="uk-UA"/>
        </w:rPr>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rsidR="00677EEF" w:rsidRPr="00F110C0" w:rsidRDefault="00677EEF" w:rsidP="00677EEF">
      <w:pPr>
        <w:numPr>
          <w:ilvl w:val="0"/>
          <w:numId w:val="5"/>
        </w:numPr>
        <w:ind w:left="0" w:firstLine="540"/>
        <w:jc w:val="both"/>
        <w:rPr>
          <w:sz w:val="28"/>
          <w:szCs w:val="28"/>
          <w:lang w:val="uk-UA"/>
        </w:rPr>
      </w:pPr>
      <w:r w:rsidRPr="00F110C0">
        <w:rPr>
          <w:sz w:val="28"/>
          <w:szCs w:val="28"/>
          <w:lang w:val="uk-UA"/>
        </w:rPr>
        <w:t>500,0 тис. грн зведеній бригаді "Хижак"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rsidR="00677EEF" w:rsidRPr="00F110C0" w:rsidRDefault="00677EEF" w:rsidP="00677EEF">
      <w:pPr>
        <w:ind w:firstLine="540"/>
        <w:jc w:val="both"/>
        <w:rPr>
          <w:sz w:val="28"/>
          <w:szCs w:val="28"/>
          <w:lang w:val="uk-UA"/>
        </w:rPr>
      </w:pPr>
    </w:p>
    <w:p w:rsidR="00677EEF" w:rsidRPr="00CB7834" w:rsidRDefault="00677EEF" w:rsidP="00677EEF">
      <w:pPr>
        <w:tabs>
          <w:tab w:val="left" w:pos="709"/>
        </w:tabs>
        <w:ind w:firstLine="709"/>
        <w:jc w:val="both"/>
        <w:rPr>
          <w:sz w:val="28"/>
          <w:szCs w:val="28"/>
          <w:lang w:val="uk-UA"/>
        </w:rPr>
      </w:pPr>
      <w:r w:rsidRPr="00CB7834">
        <w:rPr>
          <w:sz w:val="28"/>
          <w:szCs w:val="28"/>
          <w:lang w:val="uk-UA"/>
        </w:rPr>
        <w:t xml:space="preserve">Станом на 01.07.2025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677EEF" w:rsidRPr="00D34081" w:rsidRDefault="00677EEF" w:rsidP="00677EEF">
      <w:pPr>
        <w:tabs>
          <w:tab w:val="left" w:pos="3402"/>
        </w:tabs>
        <w:ind w:firstLine="709"/>
        <w:jc w:val="both"/>
        <w:rPr>
          <w:sz w:val="28"/>
          <w:szCs w:val="28"/>
          <w:lang w:val="uk-UA"/>
        </w:rPr>
      </w:pPr>
      <w:r w:rsidRPr="00D34081">
        <w:rPr>
          <w:sz w:val="28"/>
          <w:szCs w:val="28"/>
          <w:lang w:val="uk-UA"/>
        </w:rPr>
        <w:t xml:space="preserve">Дебіторська заборгованість по видатках бюджетних установ по загальному фонду бюджету станом на 01.07.2025 року складає 15,2 тис. грн, яка виникла по управлінню освіти молоді та спорту Хмільницької міської ради по </w:t>
      </w:r>
      <w:r w:rsidRPr="00D34081">
        <w:rPr>
          <w:sz w:val="28"/>
          <w:szCs w:val="28"/>
          <w:lang w:val="uk-UA"/>
        </w:rPr>
        <w:lastRenderedPageBreak/>
        <w:t>заробітній платі у зв’язку  з технічною помилкою під час підготовки платіжних інструкцій на виплату заробітної плати за червень 2025 року.</w:t>
      </w:r>
    </w:p>
    <w:p w:rsidR="00677EEF" w:rsidRPr="00D506F1" w:rsidRDefault="00677EEF" w:rsidP="00677EEF">
      <w:pPr>
        <w:pStyle w:val="2"/>
        <w:tabs>
          <w:tab w:val="left" w:pos="709"/>
        </w:tabs>
        <w:spacing w:after="0" w:line="240" w:lineRule="auto"/>
        <w:ind w:firstLine="709"/>
        <w:jc w:val="both"/>
        <w:rPr>
          <w:sz w:val="28"/>
          <w:szCs w:val="28"/>
          <w:lang w:val="uk-UA"/>
        </w:rPr>
      </w:pPr>
      <w:r w:rsidRPr="00D506F1">
        <w:rPr>
          <w:iCs/>
          <w:sz w:val="28"/>
          <w:szCs w:val="28"/>
          <w:lang w:val="uk-UA"/>
        </w:rPr>
        <w:t>Кредиторська заборгованість</w:t>
      </w:r>
      <w:r w:rsidRPr="00D506F1">
        <w:rPr>
          <w:sz w:val="28"/>
          <w:szCs w:val="28"/>
          <w:lang w:val="uk-UA"/>
        </w:rPr>
        <w:t xml:space="preserve"> по видатках бюджетних установ з загального фонду бюджету станом на 01.07.2025 року відсутня.</w:t>
      </w:r>
    </w:p>
    <w:p w:rsidR="00677EEF" w:rsidRPr="004304CF" w:rsidRDefault="00677EEF" w:rsidP="00677EEF">
      <w:pPr>
        <w:pStyle w:val="2"/>
        <w:tabs>
          <w:tab w:val="left" w:pos="0"/>
          <w:tab w:val="left" w:pos="709"/>
        </w:tabs>
        <w:spacing w:after="0" w:line="240" w:lineRule="auto"/>
        <w:ind w:firstLine="567"/>
        <w:jc w:val="both"/>
        <w:rPr>
          <w:sz w:val="28"/>
          <w:szCs w:val="28"/>
          <w:lang w:val="uk-UA"/>
        </w:rPr>
      </w:pPr>
      <w:r w:rsidRPr="008119D6">
        <w:rPr>
          <w:color w:val="FF0000"/>
          <w:sz w:val="28"/>
          <w:szCs w:val="28"/>
          <w:lang w:val="uk-UA"/>
        </w:rPr>
        <w:tab/>
      </w:r>
      <w:r w:rsidRPr="004304CF">
        <w:rPr>
          <w:sz w:val="28"/>
          <w:szCs w:val="28"/>
          <w:lang w:val="uk-UA"/>
        </w:rPr>
        <w:t>Дебіторська заборгованість по доходах спеціального фонду бюджету  станом на 01.07.2025 року становить 18,9 тис. грн з них:</w:t>
      </w:r>
    </w:p>
    <w:p w:rsidR="00677EEF" w:rsidRPr="004304CF" w:rsidRDefault="00677EEF" w:rsidP="00677EEF">
      <w:pPr>
        <w:ind w:firstLine="540"/>
        <w:jc w:val="both"/>
        <w:rPr>
          <w:sz w:val="28"/>
          <w:szCs w:val="28"/>
          <w:lang w:val="uk-UA"/>
        </w:rPr>
      </w:pPr>
      <w:r w:rsidRPr="004304CF">
        <w:rPr>
          <w:sz w:val="28"/>
          <w:szCs w:val="28"/>
          <w:lang w:val="uk-UA"/>
        </w:rPr>
        <w:t xml:space="preserve">  </w:t>
      </w:r>
      <w:r w:rsidRPr="004304CF">
        <w:rPr>
          <w:sz w:val="28"/>
          <w:szCs w:val="28"/>
          <w:lang w:val="uk-UA"/>
        </w:rPr>
        <w:tab/>
        <w:t>по управлінню освіти, молоді та спорту Хмільницької міської ради в сумі 18,9 тис. грн, з них:</w:t>
      </w:r>
    </w:p>
    <w:p w:rsidR="00677EEF" w:rsidRPr="004304CF" w:rsidRDefault="00677EEF" w:rsidP="00677EEF">
      <w:pPr>
        <w:tabs>
          <w:tab w:val="left" w:pos="709"/>
        </w:tabs>
        <w:jc w:val="both"/>
        <w:rPr>
          <w:sz w:val="28"/>
          <w:szCs w:val="28"/>
          <w:lang w:val="uk-UA"/>
        </w:rPr>
      </w:pPr>
      <w:r w:rsidRPr="004304CF">
        <w:rPr>
          <w:sz w:val="28"/>
          <w:szCs w:val="28"/>
          <w:lang w:val="uk-UA"/>
        </w:rPr>
        <w:tab/>
        <w:t>- за КПКВКМБ 0611010 в сумі 17,2 тис. грн, що виникла внаслідок несвоєчасної сплати батьківської плати за відвідування ДНЗ;</w:t>
      </w:r>
    </w:p>
    <w:p w:rsidR="00677EEF" w:rsidRPr="004304CF" w:rsidRDefault="00677EEF" w:rsidP="00677EEF">
      <w:pPr>
        <w:tabs>
          <w:tab w:val="left" w:pos="709"/>
        </w:tabs>
        <w:jc w:val="both"/>
        <w:rPr>
          <w:sz w:val="28"/>
          <w:szCs w:val="28"/>
          <w:lang w:val="uk-UA"/>
        </w:rPr>
      </w:pPr>
      <w:r w:rsidRPr="004304CF">
        <w:rPr>
          <w:sz w:val="28"/>
          <w:szCs w:val="28"/>
          <w:lang w:val="uk-UA"/>
        </w:rPr>
        <w:tab/>
        <w:t>- за КПКВКМБ 0611021 в сумі 1,7 тис. грн, що виникла внаслідок несвоєчасної сплати батьківської плати за відвідування дітьми НВК.</w:t>
      </w:r>
    </w:p>
    <w:p w:rsidR="00677EEF" w:rsidRPr="0077446A" w:rsidRDefault="00677EEF" w:rsidP="00677EEF">
      <w:pPr>
        <w:tabs>
          <w:tab w:val="left" w:pos="709"/>
        </w:tabs>
        <w:ind w:firstLine="567"/>
        <w:jc w:val="both"/>
        <w:rPr>
          <w:sz w:val="28"/>
          <w:szCs w:val="28"/>
          <w:lang w:val="uk-UA"/>
        </w:rPr>
      </w:pPr>
      <w:r w:rsidRPr="008119D6">
        <w:rPr>
          <w:color w:val="FF0000"/>
          <w:sz w:val="28"/>
          <w:szCs w:val="28"/>
          <w:lang w:val="uk-UA"/>
        </w:rPr>
        <w:tab/>
      </w:r>
      <w:r w:rsidRPr="0077446A">
        <w:rPr>
          <w:sz w:val="28"/>
          <w:szCs w:val="28"/>
          <w:lang w:val="uk-UA"/>
        </w:rPr>
        <w:t>Дебіторська заборгованість по видатках з спеціального фонду бюджету станом на 01.07.2025 року становить 19,6 тис. грн  по відділу культури і туризму Хмільницької міської ради за КПКВКМБ 1014030 по КЗ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677EEF" w:rsidRPr="00741112" w:rsidRDefault="00677EEF" w:rsidP="00677EEF">
      <w:pPr>
        <w:tabs>
          <w:tab w:val="left" w:pos="709"/>
        </w:tabs>
        <w:ind w:firstLine="567"/>
        <w:jc w:val="both"/>
        <w:rPr>
          <w:sz w:val="28"/>
          <w:szCs w:val="28"/>
          <w:lang w:val="uk-UA"/>
        </w:rPr>
      </w:pPr>
      <w:r w:rsidRPr="008119D6">
        <w:rPr>
          <w:color w:val="FF0000"/>
          <w:sz w:val="28"/>
          <w:szCs w:val="28"/>
          <w:lang w:val="uk-UA"/>
        </w:rPr>
        <w:tab/>
      </w:r>
      <w:r w:rsidRPr="00741112">
        <w:rPr>
          <w:sz w:val="28"/>
          <w:szCs w:val="28"/>
          <w:lang w:val="uk-UA"/>
        </w:rPr>
        <w:t>Кредиторська заборгованість по доходах спеціального фонду бюджету</w:t>
      </w:r>
    </w:p>
    <w:p w:rsidR="00677EEF" w:rsidRPr="00741112" w:rsidRDefault="00677EEF" w:rsidP="00677EEF">
      <w:pPr>
        <w:tabs>
          <w:tab w:val="left" w:pos="709"/>
        </w:tabs>
        <w:jc w:val="both"/>
        <w:rPr>
          <w:sz w:val="28"/>
          <w:szCs w:val="28"/>
          <w:lang w:val="uk-UA"/>
        </w:rPr>
      </w:pPr>
      <w:r w:rsidRPr="00741112">
        <w:rPr>
          <w:sz w:val="28"/>
          <w:szCs w:val="28"/>
          <w:lang w:val="uk-UA"/>
        </w:rPr>
        <w:t>станом на 01.07.2025 року становить 532,3 тис. грн з них:</w:t>
      </w:r>
    </w:p>
    <w:p w:rsidR="00677EEF" w:rsidRPr="00741112" w:rsidRDefault="00677EEF" w:rsidP="00677EEF">
      <w:pPr>
        <w:tabs>
          <w:tab w:val="left" w:pos="709"/>
        </w:tabs>
        <w:ind w:firstLine="567"/>
        <w:jc w:val="both"/>
        <w:rPr>
          <w:sz w:val="28"/>
          <w:szCs w:val="28"/>
          <w:lang w:val="uk-UA"/>
        </w:rPr>
      </w:pPr>
      <w:r w:rsidRPr="00741112">
        <w:rPr>
          <w:sz w:val="28"/>
          <w:szCs w:val="28"/>
          <w:lang w:val="uk-UA"/>
        </w:rPr>
        <w:tab/>
        <w:t>По управлінню освіти, молоді та спорту Хмільницької міської ради в сумі 526,2 тис. грн, з них:</w:t>
      </w:r>
    </w:p>
    <w:p w:rsidR="00677EEF" w:rsidRPr="00741112" w:rsidRDefault="00677EEF" w:rsidP="00677EEF">
      <w:pPr>
        <w:tabs>
          <w:tab w:val="left" w:pos="709"/>
        </w:tabs>
        <w:ind w:firstLine="567"/>
        <w:jc w:val="both"/>
        <w:rPr>
          <w:sz w:val="28"/>
          <w:szCs w:val="28"/>
          <w:lang w:val="uk-UA"/>
        </w:rPr>
      </w:pPr>
      <w:r w:rsidRPr="00741112">
        <w:rPr>
          <w:sz w:val="28"/>
          <w:szCs w:val="28"/>
          <w:lang w:val="uk-UA"/>
        </w:rPr>
        <w:tab/>
        <w:t>- за  КПКВКМБ 0611010 в сумі 449,2 тис. грн, що виникла внаслідок  авансової оплати батьків за відвідування дітьми ДНЗ;</w:t>
      </w:r>
    </w:p>
    <w:p w:rsidR="00677EEF" w:rsidRPr="00741112" w:rsidRDefault="00677EEF" w:rsidP="00677EEF">
      <w:pPr>
        <w:ind w:firstLine="709"/>
        <w:jc w:val="both"/>
        <w:rPr>
          <w:sz w:val="28"/>
          <w:szCs w:val="28"/>
          <w:lang w:val="uk-UA"/>
        </w:rPr>
      </w:pPr>
      <w:r w:rsidRPr="00741112">
        <w:rPr>
          <w:sz w:val="28"/>
          <w:szCs w:val="28"/>
          <w:lang w:val="uk-UA"/>
        </w:rPr>
        <w:t>- за  КПКВКМБ 0611021 в сумі  77,0 тис. грн, що виникла внаслідок  авансової оплати батьків за відвідування дітьми НВК.</w:t>
      </w:r>
    </w:p>
    <w:p w:rsidR="00677EEF" w:rsidRPr="00741112" w:rsidRDefault="00677EEF" w:rsidP="00677EEF">
      <w:pPr>
        <w:ind w:firstLine="708"/>
        <w:jc w:val="both"/>
        <w:rPr>
          <w:sz w:val="28"/>
          <w:szCs w:val="28"/>
          <w:lang w:val="uk-UA"/>
        </w:rPr>
      </w:pPr>
      <w:r w:rsidRPr="00741112">
        <w:rPr>
          <w:sz w:val="28"/>
          <w:szCs w:val="28"/>
          <w:lang w:val="uk-UA"/>
        </w:rPr>
        <w:t>По відділу культури і туризму Хмільницької міської ради  за КПКВКМБ 1011080 по КПНЗ Хмільницькій школі мистецтв в сумі 6,1 тис. грн, що виникла внаслідок авансової  оплати  за послуги з навчання дітей.</w:t>
      </w:r>
    </w:p>
    <w:p w:rsidR="00677EEF" w:rsidRPr="00741112" w:rsidRDefault="00677EEF" w:rsidP="00677EEF">
      <w:pPr>
        <w:jc w:val="both"/>
        <w:rPr>
          <w:sz w:val="28"/>
          <w:szCs w:val="28"/>
          <w:lang w:val="uk-UA"/>
        </w:rPr>
      </w:pPr>
      <w:r w:rsidRPr="00741112">
        <w:rPr>
          <w:sz w:val="28"/>
          <w:szCs w:val="28"/>
          <w:lang w:val="uk-UA"/>
        </w:rPr>
        <w:t xml:space="preserve">          Кредиторська заборгованість по видатках спеціального фонду бюджету станом на 01.07.2025 року відсутня.</w:t>
      </w:r>
    </w:p>
    <w:p w:rsidR="00677EEF" w:rsidRDefault="00677EEF" w:rsidP="00C31011">
      <w:pPr>
        <w:tabs>
          <w:tab w:val="left" w:pos="567"/>
        </w:tabs>
        <w:ind w:firstLine="567"/>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Хмільницької міської ради</w:t>
      </w:r>
      <w:r w:rsidR="00F548C0" w:rsidRPr="00BB1339">
        <w:rPr>
          <w:i/>
          <w:sz w:val="28"/>
          <w:szCs w:val="28"/>
          <w:lang w:val="uk-UA"/>
        </w:rPr>
        <w:tab/>
        <w:t xml:space="preserve">                          </w:t>
      </w:r>
    </w:p>
    <w:sectPr w:rsidR="00FE3BB6" w:rsidSect="00786E81">
      <w:headerReference w:type="even" r:id="rId8"/>
      <w:headerReference w:type="default" r:id="rId9"/>
      <w:footerReference w:type="even" r:id="rId10"/>
      <w:footerReference w:type="default" r:id="rId11"/>
      <w:pgSz w:w="11906" w:h="16838" w:code="9"/>
      <w:pgMar w:top="1134" w:right="567" w:bottom="709" w:left="1701"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15" w:rsidRDefault="00DA7515">
      <w:r>
        <w:separator/>
      </w:r>
    </w:p>
  </w:endnote>
  <w:endnote w:type="continuationSeparator" w:id="0">
    <w:p w:rsidR="00DA7515" w:rsidRDefault="00D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E84E21">
      <w:rPr>
        <w:rStyle w:val="af8"/>
        <w:noProof/>
      </w:rPr>
      <w:t>4</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15" w:rsidRDefault="00DA7515">
      <w:r>
        <w:separator/>
      </w:r>
    </w:p>
  </w:footnote>
  <w:footnote w:type="continuationSeparator" w:id="0">
    <w:p w:rsidR="00DA7515" w:rsidRDefault="00DA7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15:restartNumberingAfterBreak="0">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 w15:restartNumberingAfterBreak="0">
    <w:nsid w:val="7F0F239B"/>
    <w:multiLevelType w:val="hybridMultilevel"/>
    <w:tmpl w:val="0C06A892"/>
    <w:lvl w:ilvl="0" w:tplc="DBD64FC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9BB"/>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EEF"/>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E81"/>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7E3"/>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6FD2"/>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27ABE"/>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2B"/>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11"/>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4E21"/>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2AB"/>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4E545"/>
  <w15:docId w15:val="{4A640C79-5A2D-4A90-934B-B845E41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 w:type="character" w:styleId="aff">
    <w:name w:val="Hyperlink"/>
    <w:unhideWhenUsed/>
    <w:rsid w:val="00BC7B2B"/>
    <w:rPr>
      <w:color w:val="0000FF"/>
      <w:u w:val="single"/>
    </w:rPr>
  </w:style>
  <w:style w:type="character" w:customStyle="1" w:styleId="apple-converted-space">
    <w:name w:val="apple-converted-space"/>
    <w:rsid w:val="00B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D7E82-2E09-4399-8AC9-55C4807E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8012</TotalTime>
  <Pages>4</Pages>
  <Words>6717</Words>
  <Characters>3829</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Chif</cp:lastModifiedBy>
  <cp:revision>770</cp:revision>
  <cp:lastPrinted>2025-05-15T08:37:00Z</cp:lastPrinted>
  <dcterms:created xsi:type="dcterms:W3CDTF">2022-03-22T07:33:00Z</dcterms:created>
  <dcterms:modified xsi:type="dcterms:W3CDTF">2025-07-16T05:35:00Z</dcterms:modified>
</cp:coreProperties>
</file>