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BE" w:rsidRPr="00E213BE" w:rsidRDefault="00E213BE" w:rsidP="00E213BE">
      <w:pPr>
        <w:spacing w:after="522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</w:pPr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 xml:space="preserve">Жителям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 xml:space="preserve"> -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>змінено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>ідхід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 xml:space="preserve"> до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>участі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 xml:space="preserve"> у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51"/>
          <w:szCs w:val="51"/>
          <w:lang w:eastAsia="ru-RU"/>
        </w:rPr>
        <w:t>слуханнях</w:t>
      </w:r>
      <w:proofErr w:type="spellEnd"/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ішенням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9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сесії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Хмільницької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ради 8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скликання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26.03.2021 року №288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затверджено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Статут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Хмільницької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набув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законної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сили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30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червня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2021 року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після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 </w:t>
      </w:r>
      <w:proofErr w:type="spellStart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>територіальному</w:t>
      </w:r>
      <w:proofErr w:type="spellEnd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>органі</w:t>
      </w:r>
      <w:proofErr w:type="spellEnd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>Міністерства</w:t>
      </w:r>
      <w:proofErr w:type="spellEnd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>юстиції</w:t>
      </w:r>
      <w:proofErr w:type="spellEnd"/>
      <w:r w:rsidRPr="00E213BE">
        <w:rPr>
          <w:rFonts w:ascii="Arial" w:eastAsia="Times New Roman" w:hAnsi="Arial" w:cs="Arial"/>
          <w:color w:val="2B2B2B"/>
          <w:sz w:val="38"/>
          <w:szCs w:val="38"/>
          <w:bdr w:val="none" w:sz="0" w:space="0" w:color="auto" w:frame="1"/>
          <w:shd w:val="clear" w:color="auto" w:fill="FFFFFF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Статут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актом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прямої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дії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має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найвищу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юридичну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силу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документів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приймаються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системі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місцевого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самоврядування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територ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Х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мільницької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міської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Нові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норми</w:t>
      </w:r>
      <w:proofErr w:type="spellEnd"/>
      <w:r w:rsidRPr="00E213BE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 xml:space="preserve"> Статуту </w:t>
      </w:r>
      <w:proofErr w:type="spellStart"/>
      <w:proofErr w:type="gramStart"/>
      <w:r w:rsidRPr="00E213BE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м</w:t>
      </w:r>
      <w:proofErr w:type="gramEnd"/>
      <w:r w:rsidRPr="00E213BE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іської</w:t>
      </w:r>
      <w:proofErr w:type="spellEnd"/>
      <w:r w:rsidRPr="00E213BE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щодо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 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організації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проведення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передбачають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певні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новації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зміни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Хмільницька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міська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громада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проводити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–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зустрічатися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депутатами ради,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посадовими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особами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місцевого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самоврядування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ід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час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жителі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можуть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заслуховувати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їх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порушувати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питання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вносити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пропозиції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щодо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питань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місцевого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значення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, 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належать до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відання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місцевого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самоврядування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можуть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проводитися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 одному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або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кількох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будинках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житлових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комплексах,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вулиці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(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цях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),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кварталі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(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лах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),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мікрорайоні</w:t>
      </w:r>
      <w:bookmarkStart w:id="0" w:name="_Hlk521486996"/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(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нах</w:t>
      </w:r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 xml:space="preserve">), 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окремих</w:t>
      </w:r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населених</w:t>
      </w:r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 xml:space="preserve"> пунктах 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відповідному</w:t>
      </w:r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старостинському</w:t>
      </w:r>
      <w:proofErr w:type="spellEnd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848E99"/>
          <w:sz w:val="38"/>
          <w:szCs w:val="38"/>
          <w:bdr w:val="none" w:sz="0" w:space="0" w:color="auto" w:frame="1"/>
          <w:lang w:eastAsia="ru-RU"/>
        </w:rPr>
        <w:t>окрузі,</w:t>
      </w:r>
      <w:bookmarkEnd w:id="0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вс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щодо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питань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місцевого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значення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стосуються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законних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інтересів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жителів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lastRenderedPageBreak/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де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проводяться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ці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питання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виноситься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стосується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окремого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населеного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пункту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або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ініційоване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мешканцями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окремого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населеного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пункту,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входить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складу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то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такі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обов’язковому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порядку,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проводяться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цьому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населеному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пункті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відбуваються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відкритому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режимі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У 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слуханнях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правом голосу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можуть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брати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участь</w:t>
      </w: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 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дієздатні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жителі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проживання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установленому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законом порядку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зареєстроване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в межах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проводяться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обов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’язковим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дотриманням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наступних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вимог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Особа жителя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та факт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постійного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проживання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Хмільницької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міської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територіальної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встановлюються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визначеному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законом порядку на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ідставі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документів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визначених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Законом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України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«</w:t>
      </w: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Про свободу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пересування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вільний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вибір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місця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»</w:t>
      </w: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про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уповноваженою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особою вноситься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відповідний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запис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реєстраційну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форму (список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),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додатком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до протоколу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  <w:proofErr w:type="gramEnd"/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Інші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особи,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законних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ідставах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постійно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проживають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або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перебувають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відповідній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можуть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брати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участь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правом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дорадчого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голосу.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lastRenderedPageBreak/>
        <w:t>Можливість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участі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особи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правом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дорадчого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голосу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передбачає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 особи бути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присутньою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висловлювати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власні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позиції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приводу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обговорюваних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ід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час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питань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. Особи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правом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дорадчого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голосу не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беруть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участь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голосуванні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їхній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голос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результаті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голосування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не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враховується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початку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проводиться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.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Реєстрацію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забезпечує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ініціатор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Для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 особам,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хочуть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взяти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участь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правом голосу, 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необхідно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пред’явити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паспорт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громадянина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України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або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інший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документ,</w:t>
      </w: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 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передбачений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для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посвідчення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особи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встановлення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її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проживання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Україні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відповідно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до Закону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України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«</w:t>
      </w: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Про свободу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пересування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вільний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вибі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р</w:t>
      </w:r>
      <w:proofErr w:type="spellEnd"/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місця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».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Особи,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беруть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участь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слуханнях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правом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дорадчого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голосу,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пред’являють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лише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документ,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який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відповідно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чинного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законодавства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>посвідчує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shd w:val="clear" w:color="auto" w:fill="FFFFFF"/>
          <w:lang w:eastAsia="ru-RU"/>
        </w:rPr>
        <w:t xml:space="preserve"> особу.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У списку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зазначають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ізвища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імена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по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батькові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їх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народження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зареєстроване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проживання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 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Учасник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ідтверджує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достовірність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зазначеної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інформації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своїм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особистим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підписом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 у списку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Усі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особи,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беруть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участь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надають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згоду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обробку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ними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персональних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 межах та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спосіб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необхідний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lastRenderedPageBreak/>
        <w:t xml:space="preserve">для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організації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врахування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результатів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ісля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чого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отримують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мандат для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голосування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.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Про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надання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згоди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обробку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персональних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обсяги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обробки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персональних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бути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зроблений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відповідний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застережний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запис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кожному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аркуші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списку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.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Ініціатор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(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ініціатори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)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несе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(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несуть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)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відповідальність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за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обробку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персональних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зазначених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осіб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про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також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бути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зроблений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відповідний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запис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списку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Відмова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від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надання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документів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визначених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Положенні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Хмільницькій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міській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, 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або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відмова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від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надання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згоди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обробку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персональних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 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є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п</w:t>
      </w:r>
      <w:proofErr w:type="gram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ідставою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недопуску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особи до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участі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у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слуханнях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у тому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числі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правом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дорадчого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голосу.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Кожен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право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надати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пропозиції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висловити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зауваження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поставити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запитання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усно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чи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письмово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щодо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тематики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.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вимогу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який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подає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пропозицію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вона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має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бути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поставлена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голосування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.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Усі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пропозиції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поставлені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голосування</w:t>
      </w:r>
      <w:proofErr w:type="spellEnd"/>
      <w:r w:rsidRPr="00E213BE">
        <w:rPr>
          <w:rFonts w:ascii="Arial" w:eastAsia="Times New Roman" w:hAnsi="Arial" w:cs="Arial"/>
          <w:b/>
          <w:bCs/>
          <w:color w:val="3B4256"/>
          <w:sz w:val="38"/>
          <w:lang w:eastAsia="ru-RU"/>
        </w:rPr>
        <w:t>,</w:t>
      </w: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 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заносяться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(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додаються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) 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протоколу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Захист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обробка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персональних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містяться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протоколі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додатку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до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нього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здійснюється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відповідно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до чинного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законодавства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України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урахуванням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приписів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Положення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про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в</w:t>
      </w:r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Х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мільницькій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міській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територіальній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lastRenderedPageBreak/>
        <w:t xml:space="preserve">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разі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оприлюднення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списку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реєстрації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про дату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народження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та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місце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проживання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знеособлюються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якщо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інше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не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встановлено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р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ішенням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учасників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громадських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слухань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.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Зазначені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</w:t>
      </w:r>
      <w:proofErr w:type="gram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можуть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бути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оприлюднені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без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згоди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суб’єктів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персональних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даних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виключно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у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випадках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, </w:t>
      </w:r>
      <w:proofErr w:type="spellStart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>передбачених</w:t>
      </w:r>
      <w:proofErr w:type="spellEnd"/>
      <w:r w:rsidRPr="00E213BE">
        <w:rPr>
          <w:rFonts w:ascii="Arial" w:eastAsia="Times New Roman" w:hAnsi="Arial" w:cs="Arial"/>
          <w:color w:val="3B4256"/>
          <w:sz w:val="38"/>
          <w:szCs w:val="38"/>
          <w:bdr w:val="none" w:sz="0" w:space="0" w:color="auto" w:frame="1"/>
          <w:lang w:eastAsia="ru-RU"/>
        </w:rPr>
        <w:t xml:space="preserve"> нормами закону.</w:t>
      </w:r>
    </w:p>
    <w:p w:rsidR="00E213BE" w:rsidRPr="00E213BE" w:rsidRDefault="00E213BE" w:rsidP="00E213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proofErr w:type="spellStart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>Організаційний</w:t>
      </w:r>
      <w:proofErr w:type="spellEnd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>відділ</w:t>
      </w:r>
      <w:proofErr w:type="spellEnd"/>
      <w:proofErr w:type="gramStart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>Х</w:t>
      </w:r>
      <w:proofErr w:type="gramEnd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>мільницької</w:t>
      </w:r>
      <w:proofErr w:type="spellEnd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 xml:space="preserve"> </w:t>
      </w:r>
      <w:proofErr w:type="spellStart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>міської</w:t>
      </w:r>
      <w:proofErr w:type="spellEnd"/>
      <w:r w:rsidRPr="00E213BE">
        <w:rPr>
          <w:rFonts w:ascii="Arial" w:eastAsia="Times New Roman" w:hAnsi="Arial" w:cs="Arial"/>
          <w:i/>
          <w:iCs/>
          <w:color w:val="3B4256"/>
          <w:sz w:val="38"/>
          <w:lang w:eastAsia="ru-RU"/>
        </w:rPr>
        <w:t xml:space="preserve"> ради</w:t>
      </w:r>
    </w:p>
    <w:p w:rsidR="00E213BE" w:rsidRPr="00E213BE" w:rsidRDefault="00E213BE" w:rsidP="00E213BE">
      <w:pPr>
        <w:spacing w:after="475" w:line="240" w:lineRule="auto"/>
        <w:jc w:val="both"/>
        <w:textAlignment w:val="baseline"/>
        <w:rPr>
          <w:rFonts w:ascii="Arial" w:eastAsia="Times New Roman" w:hAnsi="Arial" w:cs="Arial"/>
          <w:color w:val="3B4256"/>
          <w:lang w:eastAsia="ru-RU"/>
        </w:rPr>
      </w:pPr>
      <w:r w:rsidRPr="00E213BE">
        <w:rPr>
          <w:rFonts w:ascii="Arial" w:eastAsia="Times New Roman" w:hAnsi="Arial" w:cs="Arial"/>
          <w:color w:val="3B4256"/>
          <w:lang w:eastAsia="ru-RU"/>
        </w:rPr>
        <w:t> </w:t>
      </w:r>
    </w:p>
    <w:p w:rsidR="00C77486" w:rsidRDefault="00C77486"/>
    <w:sectPr w:rsidR="00C77486" w:rsidSect="00C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213BE"/>
    <w:rsid w:val="00310026"/>
    <w:rsid w:val="004A01F1"/>
    <w:rsid w:val="00595CFA"/>
    <w:rsid w:val="005C3E3B"/>
    <w:rsid w:val="005D691F"/>
    <w:rsid w:val="008D1825"/>
    <w:rsid w:val="00C4435E"/>
    <w:rsid w:val="00C77486"/>
    <w:rsid w:val="00E213BE"/>
    <w:rsid w:val="00EE74F4"/>
    <w:rsid w:val="00F9037F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86"/>
  </w:style>
  <w:style w:type="paragraph" w:styleId="3">
    <w:name w:val="heading 3"/>
    <w:basedOn w:val="a"/>
    <w:link w:val="30"/>
    <w:uiPriority w:val="9"/>
    <w:qFormat/>
    <w:rsid w:val="00E21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1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2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2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BE"/>
    <w:rPr>
      <w:b/>
      <w:bCs/>
    </w:rPr>
  </w:style>
  <w:style w:type="character" w:styleId="a5">
    <w:name w:val="Emphasis"/>
    <w:basedOn w:val="a0"/>
    <w:uiPriority w:val="20"/>
    <w:qFormat/>
    <w:rsid w:val="00E21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036">
              <w:marLeft w:val="0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3622">
                          <w:marLeft w:val="-237"/>
                          <w:marRight w:val="-2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2021-12-07T07:30:00Z</dcterms:created>
  <dcterms:modified xsi:type="dcterms:W3CDTF">2021-12-07T07:30:00Z</dcterms:modified>
</cp:coreProperties>
</file>