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F" w:rsidRPr="00296A58" w:rsidRDefault="003A0EAF" w:rsidP="003A0EA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96A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296A5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275" cy="57277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AF" w:rsidRPr="00296A58" w:rsidRDefault="003A0EAF" w:rsidP="003A0EAF">
      <w:pPr>
        <w:pStyle w:val="a5"/>
        <w:jc w:val="center"/>
        <w:rPr>
          <w:b/>
          <w:sz w:val="28"/>
          <w:szCs w:val="28"/>
        </w:rPr>
      </w:pPr>
      <w:r w:rsidRPr="00296A58">
        <w:rPr>
          <w:b/>
          <w:sz w:val="28"/>
          <w:szCs w:val="28"/>
        </w:rPr>
        <w:t>УКРАЇНА</w:t>
      </w:r>
    </w:p>
    <w:p w:rsidR="003A0EAF" w:rsidRPr="00296A58" w:rsidRDefault="003A0EAF" w:rsidP="003A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96A5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м.Хмільник</w:t>
      </w:r>
      <w:proofErr w:type="spellEnd"/>
      <w:r w:rsidRPr="00296A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Вінницької області</w:t>
      </w:r>
    </w:p>
    <w:p w:rsidR="003A0EAF" w:rsidRPr="00296A58" w:rsidRDefault="003A0EAF" w:rsidP="003A0EA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A58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3A0EAF" w:rsidRPr="00296A58" w:rsidRDefault="003A0EAF" w:rsidP="003A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A5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3A0EAF" w:rsidRPr="00296A58" w:rsidRDefault="003A0EAF" w:rsidP="003A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0EAF" w:rsidRPr="00296A58" w:rsidRDefault="00215D0E" w:rsidP="003A0E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«01».03.</w:t>
      </w:r>
      <w:r w:rsidR="003A0EAF" w:rsidRPr="00296A58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r w:rsidR="0093387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A0EAF" w:rsidRPr="00296A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№96-р.</w:t>
      </w:r>
    </w:p>
    <w:p w:rsidR="003A0EAF" w:rsidRPr="00296A58" w:rsidRDefault="003A0EAF" w:rsidP="003A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0EAF" w:rsidRPr="00FA60EC" w:rsidRDefault="003A0EAF" w:rsidP="003A0EAF">
      <w:pPr>
        <w:pStyle w:val="a3"/>
        <w:tabs>
          <w:tab w:val="left" w:pos="708"/>
        </w:tabs>
        <w:rPr>
          <w:b/>
          <w:bCs/>
          <w:iCs/>
          <w:sz w:val="28"/>
          <w:szCs w:val="28"/>
          <w:lang w:val="uk-UA"/>
        </w:rPr>
      </w:pPr>
      <w:r w:rsidRPr="00FA60EC">
        <w:rPr>
          <w:b/>
          <w:bCs/>
          <w:iCs/>
          <w:sz w:val="28"/>
          <w:szCs w:val="28"/>
          <w:lang w:val="uk-UA"/>
        </w:rPr>
        <w:t xml:space="preserve">Про затвердження Положення про </w:t>
      </w:r>
    </w:p>
    <w:p w:rsidR="003A0EAF" w:rsidRPr="00FA60EC" w:rsidRDefault="003A0EAF" w:rsidP="003A0EAF">
      <w:pPr>
        <w:pStyle w:val="a3"/>
        <w:tabs>
          <w:tab w:val="left" w:pos="708"/>
        </w:tabs>
        <w:rPr>
          <w:b/>
          <w:bCs/>
          <w:iCs/>
          <w:sz w:val="28"/>
          <w:szCs w:val="28"/>
          <w:lang w:val="uk-UA"/>
        </w:rPr>
      </w:pPr>
      <w:r w:rsidRPr="00FA60EC">
        <w:rPr>
          <w:b/>
          <w:bCs/>
          <w:iCs/>
          <w:sz w:val="28"/>
          <w:szCs w:val="28"/>
          <w:lang w:val="uk-UA"/>
        </w:rPr>
        <w:t>позаштатних  радників міського голови</w:t>
      </w:r>
    </w:p>
    <w:p w:rsidR="003A0EAF" w:rsidRPr="00FA60EC" w:rsidRDefault="003A0EAF" w:rsidP="003A0EAF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lang w:val="uk-UA"/>
        </w:rPr>
      </w:pPr>
      <w:r w:rsidRPr="00FA60EC">
        <w:rPr>
          <w:b/>
          <w:bCs/>
          <w:iCs/>
          <w:sz w:val="28"/>
          <w:szCs w:val="28"/>
          <w:lang w:val="uk-UA"/>
        </w:rPr>
        <w:t>на громадських засадах</w:t>
      </w:r>
    </w:p>
    <w:p w:rsidR="008C6540" w:rsidRDefault="008C6540" w:rsidP="003A0EAF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:rsidR="003A0EAF" w:rsidRDefault="00CB2885" w:rsidP="008C65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сприяння здійсненню повноважень міського голови, надання юридичної, методичної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практичної допомоги у вивченні питань життєдіяльності</w:t>
      </w:r>
      <w:r w:rsid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Хмільницької міської територіальної громади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оцінки поточних і перспективних напрямів розвитку </w:t>
      </w:r>
      <w:r w:rsid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громади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керуючись ст.</w:t>
      </w:r>
      <w:r w:rsid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EAF"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42,59 Закону України «Про місцеве самоврядування в Україні»:</w:t>
      </w:r>
      <w:r w:rsidR="003A0EAF" w:rsidRPr="008C6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6540" w:rsidRDefault="008C6540" w:rsidP="008C6540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Положення про позаштатних радників міського голови на громадських засадах згідно з Додатком</w:t>
      </w:r>
      <w:r w:rsidR="005E56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E56F3" w:rsidRDefault="005E56F3" w:rsidP="008C6540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r w:rsidR="00100D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пис</w:t>
      </w:r>
      <w:r w:rsidR="005E04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бланку посвідчення позаштатного радника міського голови згідно з Додатком 2.</w:t>
      </w:r>
    </w:p>
    <w:p w:rsidR="004E3CE8" w:rsidRDefault="004E3CE8" w:rsidP="008C6540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 міського голови від 27.11.2015 р. №376-р «Про позаштатних радників міського голови» , від 07.12.2015 р. №388-р «Про внесення змін до розпорядження міського голови  №376-р від 27.11.2015 р. «Про позаштатних радників міського голови» визнати такими, що втратили чинність.</w:t>
      </w:r>
    </w:p>
    <w:p w:rsidR="00AE5F30" w:rsidRDefault="00AE5F30" w:rsidP="00AE5F30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інформаційної діяльності та комунікацій із громадськістю </w:t>
      </w:r>
      <w:r w:rsidR="005A7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(Мазур Н.П.) оприлюднити  це розпорядження на офіційному веб-сайті міської ради.</w:t>
      </w:r>
    </w:p>
    <w:p w:rsidR="004E3CE8" w:rsidRDefault="00AE5F30" w:rsidP="004E3CE8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Архівному  відділу міської ради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Поліщученко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Р.М.) у </w:t>
      </w:r>
      <w:r w:rsidR="008A4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документах  постійного зберігання зазначити факт та підставу втрати чинності документів згідно з п.3 цього розпорядження.</w:t>
      </w:r>
    </w:p>
    <w:p w:rsidR="008C6540" w:rsidRPr="004E3CE8" w:rsidRDefault="008C6540" w:rsidP="004E3CE8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собою. </w:t>
      </w:r>
    </w:p>
    <w:p w:rsidR="008C6540" w:rsidRPr="008C6540" w:rsidRDefault="008C6540" w:rsidP="008C654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М.В.</w:t>
      </w:r>
      <w:proofErr w:type="spellStart"/>
      <w:r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Юрчишин</w:t>
      </w:r>
      <w:proofErr w:type="spellEnd"/>
    </w:p>
    <w:p w:rsidR="008C6540" w:rsidRPr="008C6540" w:rsidRDefault="008C6540" w:rsidP="008C65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C1B" w:rsidRDefault="00DF0CA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F0CA3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 w:rsidRPr="00DF0CA3"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DF0CA3" w:rsidRDefault="00DF0CA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8A4963" w:rsidRDefault="008A496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Н.Мазур</w:t>
      </w:r>
    </w:p>
    <w:p w:rsidR="008A4963" w:rsidRDefault="008A496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DF0CA3" w:rsidRPr="00DF0CA3" w:rsidRDefault="00DF0CA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Сидоришина</w:t>
      </w:r>
      <w:proofErr w:type="spellEnd"/>
    </w:p>
    <w:p w:rsidR="00DF0CA3" w:rsidRPr="00DF0CA3" w:rsidRDefault="00DF0CA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80710" w:rsidRDefault="00100D2C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="00AB43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одаток</w:t>
      </w:r>
      <w:r w:rsidR="00247B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</w:t>
      </w:r>
    </w:p>
    <w:p w:rsidR="00AB432E" w:rsidRDefault="00AB432E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розпорядження</w:t>
      </w:r>
    </w:p>
    <w:p w:rsidR="00AB432E" w:rsidRDefault="00AB432E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міського голови</w:t>
      </w:r>
    </w:p>
    <w:p w:rsidR="00AB432E" w:rsidRDefault="00AB432E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«</w:t>
      </w:r>
      <w:r w:rsidR="00215D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215D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2021 р.</w:t>
      </w:r>
    </w:p>
    <w:p w:rsidR="00AB432E" w:rsidRDefault="00AB432E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</w:t>
      </w:r>
      <w:r w:rsidR="00215D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96-р.</w:t>
      </w:r>
    </w:p>
    <w:p w:rsidR="00180710" w:rsidRDefault="00180710" w:rsidP="00180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80710" w:rsidRDefault="00180710" w:rsidP="00180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80710" w:rsidRPr="00FD4410" w:rsidRDefault="00180710" w:rsidP="00AB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ПОЛОЖЕННЯ</w:t>
      </w:r>
      <w:r w:rsidRPr="00FD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позаштатних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радників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іського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голови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 </w:t>
      </w:r>
      <w:proofErr w:type="spell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засадах</w:t>
      </w:r>
    </w:p>
    <w:p w:rsidR="00AB432E" w:rsidRPr="00AB432E" w:rsidRDefault="00AB432E" w:rsidP="00AB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0710" w:rsidRPr="00FD4410" w:rsidRDefault="00180710" w:rsidP="00AB43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І.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Загальні</w:t>
      </w:r>
      <w:proofErr w:type="spellEnd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положення</w:t>
      </w:r>
      <w:proofErr w:type="spellEnd"/>
    </w:p>
    <w:p w:rsidR="00AB432E" w:rsidRPr="00FD4410" w:rsidRDefault="00AB432E" w:rsidP="00AB43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B432E" w:rsidRPr="00AB432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proofErr w:type="gram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 (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встановлює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правовий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статус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компетенцію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2E" w:rsidRPr="00AB432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AB432E" w:rsidRP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 (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надаються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строк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припиняються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припинені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достроково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Дострокове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оформлюється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1.3.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керуються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підзаконними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рішеннями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відкритості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професіоналізму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іоритетності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ідпорядковується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погодженням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взаємодіяти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заступниками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керуючим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службовими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службовими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структуру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штатний розпис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</w:t>
      </w:r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виключно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безоплатно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покладені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Персональний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добі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особисто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Гранична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чисельність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обмежується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розсуд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виходячи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наявної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потреби.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депутатам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в т.ч.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попередніх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скликань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провідним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фахівцям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галузях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бюджету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сфер, права,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представникам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об’єднань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діячам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повнолітні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1.9. Претендент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набуття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претендент)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подає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автобіографію,</w:t>
      </w:r>
      <w:r w:rsidR="00A94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копії документів про освіту, 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паспорта,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фотокартку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розміром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3х4.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1.11.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заяві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позитивної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резолюції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відділом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="00FD4410" w:rsidRPr="009A11C6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персоналом</w:t>
      </w:r>
      <w:r w:rsidR="00FD4410" w:rsidRPr="00FD441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proofErr w:type="gramStart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готу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засадах.</w:t>
      </w:r>
    </w:p>
    <w:p w:rsidR="00FD44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починаються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день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засадах,</w:t>
      </w:r>
      <w:r w:rsidR="00247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закінчуються в зв’язку з припиненням повноважень міського голови </w:t>
      </w:r>
      <w:r w:rsidR="00247B6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47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 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окремого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="00FD4410" w:rsidRPr="009A11C6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</w:t>
      </w:r>
      <w:r w:rsidR="009A11C6" w:rsidRPr="009A11C6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FD4410" w:rsidRPr="009A1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proofErr w:type="gramStart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807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6F3">
        <w:rPr>
          <w:rFonts w:ascii="Times New Roman" w:eastAsia="Times New Roman" w:hAnsi="Times New Roman" w:cs="Times New Roman"/>
          <w:sz w:val="28"/>
          <w:szCs w:val="28"/>
          <w:lang w:val="uk-UA"/>
        </w:rPr>
        <w:t>1.13. Організаційне, інформаційне забезпечення діяльності Радників здійснюється відповідними відділами, управліннями, службами міської ради відповідно до напрямку своєї діяльності, визначеного міським головою при розподілі обов’язків.</w:t>
      </w:r>
    </w:p>
    <w:p w:rsidR="000E0CC7" w:rsidRDefault="000E0CC7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1.14. Радникам на громадських засадах на період їх діяльності можуть видаватися службові посвідчення встановленого зразка. </w:t>
      </w:r>
    </w:p>
    <w:p w:rsidR="00180710" w:rsidRPr="00AB432E" w:rsidRDefault="000E0CC7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Радником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особа повинна бути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410" w:rsidRDefault="00FD44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710" w:rsidRPr="00FD4410" w:rsidRDefault="00180710" w:rsidP="00FD44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II.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Повноваження</w:t>
      </w:r>
      <w:proofErr w:type="spellEnd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основні</w:t>
      </w:r>
      <w:proofErr w:type="spellEnd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завдання</w:t>
      </w:r>
      <w:proofErr w:type="spellEnd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Радника</w:t>
      </w:r>
      <w:proofErr w:type="spellEnd"/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входити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знаходитись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адміністративному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відділах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управліннях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, службах;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письмовим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запитувати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одержувати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бути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присутнім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сесій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нарад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управліннями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напрямку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вносить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іоритетних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1304B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аналізує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іально-економічні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правові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суспільні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територіальній громаді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готує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подає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можливих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подає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висновки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ефективному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здійсненні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аналітичного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інформаційного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інформаційно-аналітичних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напрямку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 при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розподілі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2.3.Для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залучатися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до: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актуальних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напрямками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цільових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зупинення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скасування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вказаних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суперечать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чинному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законодавству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опрацювання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механізму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політичними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партіями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профспілками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прес-конференцій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виступів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доповідей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зустрічей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поїздок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відповідально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сумлінно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44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високої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шанобливо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FD4410">
        <w:rPr>
          <w:rFonts w:ascii="Times New Roman" w:eastAsia="Times New Roman" w:hAnsi="Times New Roman" w:cs="Times New Roman"/>
          <w:sz w:val="28"/>
          <w:szCs w:val="28"/>
        </w:rPr>
        <w:t>анів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410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410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4410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FD44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441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не допускати дій і вчинків, які можуть негативно вплинути або зашкодити авторитету міського голови, міської ради, її виконавчого комітету, відділів, управлінь, служб міської ради;</w:t>
      </w:r>
    </w:p>
    <w:p w:rsidR="001807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допускати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розголошення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стала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09F" w:rsidRPr="00AE709F" w:rsidRDefault="00AE709F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710" w:rsidRPr="00AE709F" w:rsidRDefault="00180710" w:rsidP="00AE70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 xml:space="preserve">IІІ. </w:t>
      </w:r>
      <w:proofErr w:type="spellStart"/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>Кваліфікаційні</w:t>
      </w:r>
      <w:proofErr w:type="spellEnd"/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>вимоги</w:t>
      </w:r>
      <w:proofErr w:type="spellEnd"/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професіоналами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певній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знати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Конституцію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службу в органах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службу», «Про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укази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постанови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постанови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підзаконні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нормативно-правові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практику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права,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інструкцію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діловодства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proofErr w:type="gram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мільницької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ради; правила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ділового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етикету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протипожежної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комп’ютері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вільно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володіти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09F" w:rsidRDefault="00AE709F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80710" w:rsidRPr="005E56F3" w:rsidRDefault="00180710" w:rsidP="00AE70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E56F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5E56F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Відповідальність</w:t>
      </w:r>
    </w:p>
    <w:p w:rsidR="00180710" w:rsidRPr="005E56F3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6F3">
        <w:rPr>
          <w:rFonts w:ascii="Times New Roman" w:eastAsia="Times New Roman" w:hAnsi="Times New Roman" w:cs="Times New Roman"/>
          <w:sz w:val="28"/>
          <w:szCs w:val="28"/>
          <w:lang w:val="uk-UA"/>
        </w:rPr>
        <w:t>Радники несуть відповідальність у порядку та у спосіб, що визначені чинним законодавством України за невиконання або неналежне виконання повноважень та основних завдань, визначених цим Положенням, за недостовірність відомостей, статистичної звітності та інформації з питань, що належать до компетенції Радника, даних, що подаються ним міському голові, а також за розголошення інформації, що стала йому відома у зв'язку з виконанням завдань, за завдану міській раді, її виконавчому комітету, відділам, управлінням, службам міської ради шкоду.</w:t>
      </w:r>
    </w:p>
    <w:p w:rsidR="00180710" w:rsidRPr="005E56F3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6F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180710" w:rsidRPr="005E56F3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6540" w:rsidRPr="005E56F3" w:rsidRDefault="008C6540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C6540" w:rsidRPr="00AB432E" w:rsidRDefault="008C6540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C6540" w:rsidRPr="00FD4410" w:rsidRDefault="00FD4410" w:rsidP="00AB4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1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0663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</w:p>
    <w:p w:rsidR="008C6540" w:rsidRPr="00AB432E" w:rsidRDefault="008C6540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C6540" w:rsidRDefault="008C6540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312087" w:rsidRDefault="00312087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47B68" w:rsidRDefault="00247B68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247B68" w:rsidRDefault="00247B68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розпорядження</w:t>
      </w:r>
    </w:p>
    <w:p w:rsidR="00247B68" w:rsidRDefault="00247B68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міського голови</w:t>
      </w:r>
    </w:p>
    <w:p w:rsidR="00247B68" w:rsidRDefault="00247B68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«</w:t>
      </w:r>
      <w:r w:rsidR="00215D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215D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2021 р.</w:t>
      </w:r>
    </w:p>
    <w:p w:rsidR="00247B68" w:rsidRDefault="00247B68" w:rsidP="00247B68">
      <w:pPr>
        <w:spacing w:after="0" w:line="240" w:lineRule="auto"/>
        <w:ind w:firstLine="567"/>
        <w:jc w:val="righ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</w:t>
      </w:r>
      <w:r w:rsidR="00215D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96-р.</w:t>
      </w:r>
    </w:p>
    <w:p w:rsidR="00247B68" w:rsidRPr="00247B68" w:rsidRDefault="00247B68" w:rsidP="00247B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B68">
        <w:rPr>
          <w:rFonts w:ascii="Times New Roman" w:hAnsi="Times New Roman" w:cs="Times New Roman"/>
          <w:b/>
          <w:sz w:val="28"/>
          <w:szCs w:val="28"/>
          <w:lang w:val="uk-UA"/>
        </w:rPr>
        <w:t>1.ОПИС</w:t>
      </w:r>
    </w:p>
    <w:p w:rsidR="00247B68" w:rsidRDefault="00247B68" w:rsidP="00247B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бланку посвідчення позаштатного радника</w:t>
      </w:r>
    </w:p>
    <w:p w:rsidR="00247B68" w:rsidRDefault="00247B68" w:rsidP="00247B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247B68" w:rsidRDefault="00247B68" w:rsidP="00247B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B68" w:rsidRPr="007B1A26" w:rsidRDefault="00247B68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A26">
        <w:rPr>
          <w:rFonts w:ascii="Times New Roman" w:hAnsi="Times New Roman" w:cs="Times New Roman"/>
          <w:sz w:val="28"/>
          <w:szCs w:val="28"/>
          <w:lang w:val="uk-UA"/>
        </w:rPr>
        <w:t>Посвідчення є двостороннім, виготовляється поліграфічним способом та ламінується.</w:t>
      </w:r>
    </w:p>
    <w:p w:rsidR="00247B68" w:rsidRDefault="00247B68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A26">
        <w:rPr>
          <w:rFonts w:ascii="Times New Roman" w:hAnsi="Times New Roman" w:cs="Times New Roman"/>
          <w:sz w:val="28"/>
          <w:szCs w:val="28"/>
          <w:lang w:val="uk-UA"/>
        </w:rPr>
        <w:t xml:space="preserve">На першій </w:t>
      </w:r>
      <w:r w:rsidR="00CC0540">
        <w:rPr>
          <w:rFonts w:ascii="Times New Roman" w:hAnsi="Times New Roman" w:cs="Times New Roman"/>
          <w:sz w:val="28"/>
          <w:szCs w:val="28"/>
          <w:lang w:val="uk-UA"/>
        </w:rPr>
        <w:t>сторінці – зверху, ліворуч розташовано герб міста Хмільника.</w:t>
      </w:r>
    </w:p>
    <w:p w:rsidR="00CC0540" w:rsidRDefault="00CC0540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Зверху праворуч – розташовано фото радника розміром 3х4 см.</w:t>
      </w:r>
    </w:p>
    <w:p w:rsidR="00CC0540" w:rsidRDefault="00CC0540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Нижче - № посвідчення, прізвище, ім’я, по-батькові радника, № і дата розпорядження міського голови про призначення радником (малюнок 1).</w:t>
      </w:r>
    </w:p>
    <w:p w:rsidR="00CC0540" w:rsidRDefault="00CC0540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940ED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82.95pt;margin-top:.9pt;width:326.9pt;height:182.1pt;z-index:251658240">
            <v:textbox>
              <w:txbxContent>
                <w:p w:rsidR="00CC0540" w:rsidRDefault="00CC0540">
                  <w:pPr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0414" cy="505906"/>
                        <wp:effectExtent l="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982" cy="50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                                                                                        </w:t>
                  </w:r>
                </w:p>
                <w:p w:rsidR="00CC0540" w:rsidRDefault="00CC0540" w:rsidP="00CC0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0540">
                    <w:rPr>
                      <w:rFonts w:ascii="Times New Roman" w:hAnsi="Times New Roman" w:cs="Times New Roman"/>
                      <w:lang w:val="uk-UA"/>
                    </w:rPr>
                    <w:t>ПОСВІДЧЕННЯ №_____</w:t>
                  </w:r>
                </w:p>
                <w:p w:rsidR="00CC0540" w:rsidRDefault="00CC0540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видане__________________________________________________</w:t>
                  </w:r>
                </w:p>
                <w:p w:rsidR="00CC0540" w:rsidRDefault="00CC0540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________________________________________________________,</w:t>
                  </w:r>
                </w:p>
                <w:p w:rsidR="00CC0540" w:rsidRDefault="00CC0540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який є позаштатним радником </w:t>
                  </w:r>
                  <w:r w:rsidR="001C3BC6">
                    <w:rPr>
                      <w:rFonts w:ascii="Times New Roman" w:hAnsi="Times New Roman" w:cs="Times New Roman"/>
                      <w:lang w:val="uk-UA"/>
                    </w:rPr>
                    <w:t xml:space="preserve"> Хмільницького міського голови</w:t>
                  </w:r>
                </w:p>
                <w:p w:rsidR="001C3BC6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відповідно до розпорядження міського голови________________</w:t>
                  </w:r>
                </w:p>
                <w:p w:rsidR="001C3BC6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________________________________________________________</w:t>
                  </w:r>
                </w:p>
                <w:p w:rsidR="001C3BC6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1C3BC6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М.П.</w:t>
                  </w:r>
                </w:p>
                <w:p w:rsidR="001C3BC6" w:rsidRPr="00CC0540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Міський голова  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66pt;margin-top:10.85pt;width:33.1pt;height:32.3pt;z-index:251659264">
            <v:textbox>
              <w:txbxContent>
                <w:p w:rsidR="00CC0540" w:rsidRDefault="00CC0540" w:rsidP="00CC0540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Фото</w:t>
                  </w:r>
                </w:p>
                <w:p w:rsidR="00CC0540" w:rsidRPr="00CC0540" w:rsidRDefault="00CC0540" w:rsidP="00CC0540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3х4</w:t>
                  </w:r>
                </w:p>
              </w:txbxContent>
            </v:textbox>
          </v:rect>
        </w:pict>
      </w: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0540" w:rsidRDefault="00312087" w:rsidP="0031208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зв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оротній стороні – на білому фоні по центру розташовано герб міста Хмільника (малюнок 2).</w:t>
      </w:r>
    </w:p>
    <w:p w:rsidR="00312087" w:rsidRDefault="003940ED" w:rsidP="0031208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82.95pt;margin-top:1.85pt;width:326.9pt;height:170.5pt;z-index:251660288">
            <v:textbox>
              <w:txbxContent>
                <w:p w:rsidR="00312087" w:rsidRDefault="00312087" w:rsidP="0031208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</w:t>
                  </w:r>
                </w:p>
                <w:p w:rsidR="00312087" w:rsidRDefault="00312087" w:rsidP="00312087">
                  <w:pPr>
                    <w:rPr>
                      <w:lang w:val="uk-UA"/>
                    </w:rPr>
                  </w:pPr>
                </w:p>
                <w:p w:rsidR="00312087" w:rsidRDefault="00312087" w:rsidP="0031208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0470" cy="819807"/>
                        <wp:effectExtent l="0" t="0" r="0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170" cy="82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312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2087" w:rsidRPr="00312087" w:rsidRDefault="00312087" w:rsidP="003120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1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М.В.</w:t>
      </w:r>
      <w:proofErr w:type="spellStart"/>
      <w:r w:rsidRPr="00312087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</w:p>
    <w:sectPr w:rsidR="00312087" w:rsidRPr="00312087" w:rsidSect="003120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425"/>
    <w:multiLevelType w:val="hybridMultilevel"/>
    <w:tmpl w:val="283000A4"/>
    <w:lvl w:ilvl="0" w:tplc="A4EEDD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56C22"/>
    <w:multiLevelType w:val="multilevel"/>
    <w:tmpl w:val="31F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2"/>
    </w:lvlOverride>
  </w:num>
  <w:num w:numId="3">
    <w:abstractNumId w:val="1"/>
    <w:lvlOverride w:ilvl="0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A0EAF"/>
    <w:rsid w:val="000E0CC7"/>
    <w:rsid w:val="00100D2C"/>
    <w:rsid w:val="001304B8"/>
    <w:rsid w:val="00180710"/>
    <w:rsid w:val="00194C1B"/>
    <w:rsid w:val="001C3BC6"/>
    <w:rsid w:val="00215D0E"/>
    <w:rsid w:val="00247B68"/>
    <w:rsid w:val="00312087"/>
    <w:rsid w:val="00327E8A"/>
    <w:rsid w:val="003940ED"/>
    <w:rsid w:val="003A0EAF"/>
    <w:rsid w:val="004E3CE8"/>
    <w:rsid w:val="004F69E2"/>
    <w:rsid w:val="005A7A8B"/>
    <w:rsid w:val="005E04A7"/>
    <w:rsid w:val="005E56F3"/>
    <w:rsid w:val="007B1A26"/>
    <w:rsid w:val="008A4963"/>
    <w:rsid w:val="008C35FD"/>
    <w:rsid w:val="008C6540"/>
    <w:rsid w:val="00933878"/>
    <w:rsid w:val="009A11C6"/>
    <w:rsid w:val="00A940F4"/>
    <w:rsid w:val="00AB432E"/>
    <w:rsid w:val="00AD6429"/>
    <w:rsid w:val="00AE5F30"/>
    <w:rsid w:val="00AE709F"/>
    <w:rsid w:val="00B06635"/>
    <w:rsid w:val="00CB2885"/>
    <w:rsid w:val="00CC0540"/>
    <w:rsid w:val="00DF0CA3"/>
    <w:rsid w:val="00FA60EC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ED"/>
  </w:style>
  <w:style w:type="paragraph" w:styleId="1">
    <w:name w:val="heading 1"/>
    <w:basedOn w:val="a"/>
    <w:next w:val="a"/>
    <w:link w:val="10"/>
    <w:qFormat/>
    <w:rsid w:val="003A0E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E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3A0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0E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3A0EA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A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BDBF-871B-4024-8606-89ECB426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</cp:lastModifiedBy>
  <cp:revision>14</cp:revision>
  <cp:lastPrinted>2021-03-02T06:01:00Z</cp:lastPrinted>
  <dcterms:created xsi:type="dcterms:W3CDTF">2021-03-01T05:59:00Z</dcterms:created>
  <dcterms:modified xsi:type="dcterms:W3CDTF">2021-03-09T14:34:00Z</dcterms:modified>
</cp:coreProperties>
</file>