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54" w:rsidRPr="00D66254" w:rsidRDefault="00D66254" w:rsidP="00D66254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D66254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 xml:space="preserve">ВИКОНАННЯ БЮДЖЕТУ МІСТА ХМІЛЬНИКА ЗА 2017 </w:t>
      </w:r>
      <w:proofErr w:type="gramStart"/>
      <w:r w:rsidRPr="00D66254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ІК</w:t>
      </w:r>
    </w:p>
    <w:p w:rsidR="00D66254" w:rsidRPr="00D66254" w:rsidRDefault="00D66254" w:rsidP="00D6625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За результатами 2017 року до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міста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Хмільника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надійшло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257606,6 тис. грн., у тому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числі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податків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зборів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105964,5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міжбюджетних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трансфертів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151642,1 тис.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гривень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2016 роком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збільшилися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27613,6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на 12,0 %.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бюджетних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у 2017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році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найвагоміших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складових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дохідної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частини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міського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 становить:</w:t>
      </w:r>
    </w:p>
    <w:p w:rsidR="00D66254" w:rsidRPr="00D66254" w:rsidRDefault="00D66254" w:rsidP="00D6625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– 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податок</w:t>
      </w:r>
      <w:proofErr w:type="spellEnd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та 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збі</w:t>
      </w:r>
      <w:proofErr w:type="gram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на доходи 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фізичних</w:t>
      </w:r>
      <w:proofErr w:type="spellEnd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осіб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– 112,5 %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уточненого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плану, сума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склала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50000,6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2016 роком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зросли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18465,4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 (на 58,6 %);</w:t>
      </w:r>
    </w:p>
    <w:p w:rsidR="00D66254" w:rsidRPr="00D66254" w:rsidRDefault="00D66254" w:rsidP="00D6625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         </w:t>
      </w: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– 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податок</w:t>
      </w:r>
      <w:proofErr w:type="spellEnd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майно</w:t>
      </w:r>
      <w:proofErr w:type="spellEnd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– </w:t>
      </w: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112,3 %  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уточненого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плану, сума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склала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21503,7 тис.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.,в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т.ч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– плата за землю – 112,5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плану, сума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склала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20388,5 тис. грн.,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2016 роком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зросли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  5015,7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 ( на 30,4 %);</w:t>
      </w:r>
    </w:p>
    <w:p w:rsidR="00D66254" w:rsidRPr="00D66254" w:rsidRDefault="00D66254" w:rsidP="00D6625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–</w:t>
      </w:r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 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єдиний</w:t>
      </w:r>
      <w:proofErr w:type="spellEnd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податок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– 105,8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уточненого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плану, сума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склала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15735,8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2016 роком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зросли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2377,4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 ( на 17,8 %).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У 2017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році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трансфертів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до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міста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надійшло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151642,1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 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зокрема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: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базова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дотація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– 3127,7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6431,8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менше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періоду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року;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державного бюджету 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виплату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допомоги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сім’ям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дітьми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малозабезпеченим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сім’ям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– 31713,8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2011,5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   2016 роком;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державного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місцевим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бюджетам 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виплату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державної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соц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іальної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допомоги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дітей-сиріт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дітей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позбавлених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батьківського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піклування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грошового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забезпечення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батькам-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вихователям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і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прийомним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батькам за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соціальних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послуг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дитячих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будинках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сімейного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типу та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прийомних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сім’ях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за принципом “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гроші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ходять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дитиною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” –   951,7 тис. грн.,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94,1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року;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державного бюджету 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ільг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субсидій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населенню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– 83635,2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16033,7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надходжень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року;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освітня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державного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місцевим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бюджетам – 24372,1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2303,0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у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 з  2016 роком;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з державного  бюджету 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місцевим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бюджетам    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надання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державної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ідтримки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особам з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особливими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освітніми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потребами – 85,8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.;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з державного  бюджету 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місцевим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бюджетам   на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здійснення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заходів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щодо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соц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іально-економічного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розвитку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окремих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територій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– 2626,9 тис. грн.,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1628,0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2016 роком;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–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інші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–  5128,9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4337,2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тис.грн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порівнянні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 2016роком.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Видатки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міста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за 2017 року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проведені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сумі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258548,7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39003,9 тис. грн.,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17,8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до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становить 93,8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Видатки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загального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фонду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міського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 за 2017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ік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становлять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214019,8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періоду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 вони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зросли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  17050,4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8,7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становить 97,3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Видатки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спеціального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фонду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міського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 у 2017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році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становлять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44528,9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періоду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 вони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збільшились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21953,5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97,2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становить 79,9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освітянську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галузь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за 2017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ік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використано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65217,8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бюджетних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коштів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25,2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загального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бюджету,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 5086,5 тис. грн.,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8,5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– 96,6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119905,8  тис. грн.,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46,4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складають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видатки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 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соц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іальний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захист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соціальне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забезпечення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населення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19707,2 тис. грн.,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19,7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– 98,6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На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утримання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органів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місцевого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самоврядування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використано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14538,7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5,6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загального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5502,4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запланованого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обсягу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– 97,7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Видатки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культурно-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освітні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заклади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  заходи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проведені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сумі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6670,2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2393,9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 (з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яких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субвенція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районному бюджету – 2162,5 тис. грн.).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– 97,4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проведення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фізкультурно-спортивних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заходів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утримання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дитячо-юнацької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спортивної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школи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використано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2122,3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455,4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– 97,1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36387,1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бюджетних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коштів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використано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житлово-комунальне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господарство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будівництво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дорожній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фонд,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23698,3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року. </w:t>
      </w:r>
      <w:proofErr w:type="spellStart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івень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виконання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плану (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змінами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) –  82,1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відсотка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Інші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видатки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становлять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 13706,8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що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986,0 тис. грн.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більше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 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аналогічного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показника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2016 року.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Протягом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2017 року з бюджету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міста</w:t>
      </w:r>
      <w:proofErr w:type="spellEnd"/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Х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мільника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кредити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не надавались.</w:t>
      </w:r>
    </w:p>
    <w:p w:rsidR="00D66254" w:rsidRPr="00D66254" w:rsidRDefault="00D66254" w:rsidP="00D66254">
      <w:pPr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Станом на 01.01.2018 року</w:t>
      </w:r>
      <w:r>
        <w:rPr>
          <w:rFonts w:ascii="Helvetica" w:eastAsia="Times New Roman" w:hAnsi="Helvetica" w:cs="Helvetica"/>
          <w:color w:val="222222"/>
          <w:sz w:val="24"/>
          <w:szCs w:val="24"/>
          <w:lang w:val="uk-UA" w:eastAsia="ru-RU"/>
        </w:rPr>
        <w:t>,</w:t>
      </w:r>
      <w:bookmarkStart w:id="0" w:name="_GoBack"/>
      <w:bookmarkEnd w:id="0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рахується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неповернута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безвідсоткова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середньострокова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позичка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сумі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600,0 тис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</w:t>
      </w:r>
      <w:proofErr w:type="gram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рн.,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отримана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 2012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році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рахунок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коштів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єдиного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казначейського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рахунку</w:t>
      </w:r>
      <w:proofErr w:type="spellEnd"/>
      <w:r w:rsidRPr="00D6625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D66254" w:rsidRPr="00D66254" w:rsidRDefault="00D66254" w:rsidP="00D6625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D6625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Хмільницька</w:t>
      </w:r>
      <w:proofErr w:type="spellEnd"/>
      <w:r w:rsidRPr="00D6625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D6625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>міська</w:t>
      </w:r>
      <w:proofErr w:type="spellEnd"/>
      <w:r w:rsidRPr="00D66254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ru-RU"/>
        </w:rPr>
        <w:t xml:space="preserve"> рада</w:t>
      </w:r>
    </w:p>
    <w:p w:rsidR="00C308AA" w:rsidRDefault="00C308AA"/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54"/>
    <w:rsid w:val="00B97C62"/>
    <w:rsid w:val="00C308AA"/>
    <w:rsid w:val="00D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2018-06-14T10:01:00Z</dcterms:created>
  <dcterms:modified xsi:type="dcterms:W3CDTF">2018-06-14T10:02:00Z</dcterms:modified>
</cp:coreProperties>
</file>