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2B" w:rsidRPr="00190954" w:rsidRDefault="00AD1B2B" w:rsidP="0019095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25A8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B25A8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2.75pt;visibility:visible">
            <v:imagedata r:id="rId5" o:title=""/>
          </v:shape>
        </w:pic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AD1B2B" w:rsidRPr="00190954" w:rsidRDefault="00AD1B2B" w:rsidP="001909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AD1B2B" w:rsidRPr="00190954" w:rsidRDefault="00AD1B2B" w:rsidP="0019095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AD1B2B" w:rsidRPr="00190954" w:rsidRDefault="00AD1B2B" w:rsidP="0019095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18”"/>
        </w:smartTagPr>
        <w:r>
          <w:rPr>
            <w:rFonts w:ascii="Times New Roman" w:hAnsi="Times New Roman"/>
            <w:sz w:val="28"/>
            <w:szCs w:val="28"/>
            <w:lang w:val="uk-UA"/>
          </w:rPr>
          <w:t>18</w:t>
        </w:r>
        <w:r w:rsidRPr="00190954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р.                                   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467</w:t>
      </w:r>
    </w:p>
    <w:p w:rsidR="00AD1B2B" w:rsidRPr="00190954" w:rsidRDefault="00AD1B2B" w:rsidP="00190954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із громадськістю </w:t>
      </w: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AD1B2B" w:rsidRPr="00190954" w:rsidRDefault="00AD1B2B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D1B2B" w:rsidRPr="00190954" w:rsidRDefault="00AD1B2B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проект орієнтовного плану проведення консультацій із громадськістю виконавчими органами міської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21.04.2011р. №256,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AD1B2B" w:rsidRPr="00190954" w:rsidRDefault="00AD1B2B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2B" w:rsidRPr="00190954" w:rsidRDefault="00AD1B2B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AD1B2B" w:rsidRPr="00190954" w:rsidRDefault="00AD1B2B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2B" w:rsidRPr="00190954" w:rsidRDefault="00AD1B2B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>Затвердити орієнтовний план 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AD1B2B" w:rsidRPr="00190954" w:rsidRDefault="00AD1B2B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1B2B" w:rsidRPr="00190954" w:rsidRDefault="00AD1B2B" w:rsidP="0019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AD1B2B" w:rsidRPr="00190954" w:rsidRDefault="00AD1B2B" w:rsidP="00190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С.Б.Редчик 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D1B2B" w:rsidRPr="00190954" w:rsidRDefault="00AD1B2B" w:rsidP="00190954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095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ДОДАТОК</w:t>
      </w:r>
    </w:p>
    <w:p w:rsidR="00AD1B2B" w:rsidRPr="00190954" w:rsidRDefault="00AD1B2B" w:rsidP="00190954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sz w:val="24"/>
          <w:szCs w:val="24"/>
          <w:lang w:val="uk-UA"/>
        </w:rPr>
        <w:t>до рішення виконкому міської ради від „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190954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Pr="00190954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7р. №467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AD1B2B" w:rsidRPr="00190954" w:rsidRDefault="00AD1B2B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160"/>
        <w:gridCol w:w="2340"/>
        <w:gridCol w:w="1440"/>
        <w:gridCol w:w="1933"/>
        <w:gridCol w:w="2387"/>
      </w:tblGrid>
      <w:tr w:rsidR="00AD1B2B" w:rsidRPr="00B25A81" w:rsidTr="00F63776">
        <w:trPr>
          <w:trHeight w:val="133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встановлення єдиного податку  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економічного розвитку та євроінтеграції міської ради,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F63776">
        <w:trPr>
          <w:trHeight w:val="128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widowControl w:val="0"/>
              <w:spacing w:after="0" w:line="240" w:lineRule="auto"/>
              <w:ind w:left="-108"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туристичного збору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 громадські слухання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встановлення </w:t>
            </w: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податку на майно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Положення про проведення земляних робіт у місті Хмільнику (нова редакція)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півріччя 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CE46EF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погодження розташування на об’єктах благоустрою об’єктів сезонної торгівлі, сфери послуг і розваг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півріччя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CE46EF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правління житлово-комунального господарства та комунальної власності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F6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CE46EF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від 20.04.2012р. №125 «Про затвердження Положення про проведення на території міста Хмільника виставково-ярмаркової та презентаційної  діяльності»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31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2749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3127CD">
            <w:pPr>
              <w:widowControl w:val="0"/>
              <w:spacing w:after="0" w:line="240" w:lineRule="auto"/>
              <w:ind w:left="-108"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земельних ділянок у тимчасове користування для ведення городництва, сінокосіння, встановлення тимчасових гаражів, які не використовуються за цільовим призначенням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земельних відносин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906CE3">
        <w:trPr>
          <w:trHeight w:val="128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порядок набуття права на земельну ділянку за давністю користування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906CE3">
        <w:trPr>
          <w:trHeight w:val="128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90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CE46EF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можливості участі жителів територіальної громади міста у бюджетному процесі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CE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Default="00AD1B2B" w:rsidP="0090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CE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CE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12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CE46EF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A81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Реалізація державної соціальної політики щодо соціального захисту і підтримки учасників АТО та членів сімей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1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AD1B2B" w:rsidRPr="00190954" w:rsidRDefault="00AD1B2B" w:rsidP="00190954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D1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D1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163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12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A6147C">
        <w:trPr>
          <w:trHeight w:val="4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заходи з відзначення в місті державних свят, пам’ятних і знаменних дат, загальноміських заходів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оргкомітетів,</w:t>
            </w:r>
          </w:p>
          <w:p w:rsidR="00AD1B2B" w:rsidRPr="00190954" w:rsidRDefault="00AD1B2B" w:rsidP="00A6147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зустрічі з представниками громадських організацій,</w:t>
            </w:r>
          </w:p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культури міської ради,</w:t>
            </w:r>
          </w:p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з громадськістю міської ради, </w:t>
            </w:r>
          </w:p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організаційно-кадрової роботи міської ради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A6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AD1B2B" w:rsidRPr="00B25A81" w:rsidTr="003127CD">
        <w:trPr>
          <w:trHeight w:val="88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F12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909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AD1B2B" w:rsidRPr="00190954" w:rsidRDefault="00AD1B2B" w:rsidP="0019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</w:tbl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виконкому  міської ради </w:t>
      </w:r>
      <w:r w:rsidRPr="00190954">
        <w:rPr>
          <w:rFonts w:ascii="Times New Roman" w:hAnsi="Times New Roman"/>
          <w:b/>
          <w:sz w:val="24"/>
          <w:szCs w:val="24"/>
          <w:lang w:val="uk-UA"/>
        </w:rPr>
        <w:tab/>
      </w:r>
      <w:r w:rsidRPr="00190954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С.П.Маташ</w:t>
      </w: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B2B" w:rsidRDefault="00AD1B2B" w:rsidP="00F1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D1B2B" w:rsidSect="00404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54"/>
    <w:rsid w:val="00190954"/>
    <w:rsid w:val="003127CD"/>
    <w:rsid w:val="003E2449"/>
    <w:rsid w:val="00404627"/>
    <w:rsid w:val="005D185F"/>
    <w:rsid w:val="00906CE3"/>
    <w:rsid w:val="00A6147C"/>
    <w:rsid w:val="00AC5678"/>
    <w:rsid w:val="00AD1B2B"/>
    <w:rsid w:val="00B25A81"/>
    <w:rsid w:val="00CE46EF"/>
    <w:rsid w:val="00CF5A28"/>
    <w:rsid w:val="00D0190F"/>
    <w:rsid w:val="00D034D2"/>
    <w:rsid w:val="00D15A68"/>
    <w:rsid w:val="00E672B5"/>
    <w:rsid w:val="00F12F5D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903</Words>
  <Characters>5153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Н П</dc:creator>
  <cp:keywords/>
  <dc:description/>
  <cp:lastModifiedBy>User</cp:lastModifiedBy>
  <cp:revision>3</cp:revision>
  <cp:lastPrinted>2017-11-15T09:08:00Z</cp:lastPrinted>
  <dcterms:created xsi:type="dcterms:W3CDTF">2017-12-19T12:26:00Z</dcterms:created>
  <dcterms:modified xsi:type="dcterms:W3CDTF">2017-12-19T10:52:00Z</dcterms:modified>
</cp:coreProperties>
</file>