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bCs/>
          <w:sz w:val="28"/>
          <w:szCs w:val="28"/>
        </w:rPr>
        <w:t>МІСЬКОГО ГОЛОВИ</w:t>
      </w:r>
    </w:p>
    <w:p w:rsidR="004A5360" w:rsidRPr="000C2967" w:rsidRDefault="004A5360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66427A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Pr="0066427A">
        <w:rPr>
          <w:sz w:val="26"/>
          <w:szCs w:val="26"/>
        </w:rPr>
        <w:t>21</w:t>
      </w:r>
      <w:r>
        <w:rPr>
          <w:sz w:val="26"/>
          <w:szCs w:val="26"/>
          <w:lang w:val="uk-UA"/>
        </w:rPr>
        <w:t>”</w:t>
      </w:r>
      <w:r w:rsidRPr="0066427A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лютого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№70-р</w:t>
      </w:r>
    </w:p>
    <w:p w:rsidR="004A5360" w:rsidRPr="000C2967" w:rsidRDefault="004A5360" w:rsidP="006C2261">
      <w:pPr>
        <w:rPr>
          <w:sz w:val="26"/>
          <w:szCs w:val="26"/>
          <w:lang w:val="uk-UA"/>
        </w:rPr>
      </w:pPr>
    </w:p>
    <w:p w:rsidR="004A5360" w:rsidRPr="00AB72CC" w:rsidRDefault="004A5360" w:rsidP="006C2261">
      <w:pPr>
        <w:ind w:firstLine="708"/>
        <w:rPr>
          <w:sz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 w:rsidR="00C312F5">
        <w:rPr>
          <w:sz w:val="28"/>
          <w:szCs w:val="28"/>
          <w:lang w:val="uk-UA"/>
        </w:rPr>
        <w:t xml:space="preserve">на місцевому рівні </w:t>
      </w:r>
    </w:p>
    <w:p w:rsidR="00C312F5" w:rsidRDefault="00C312F5" w:rsidP="006C2261">
      <w:pPr>
        <w:ind w:firstLine="708"/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професіоналів різних напрямків роботи, </w:t>
      </w:r>
    </w:p>
    <w:p w:rsidR="00C312F5" w:rsidRDefault="00C312F5" w:rsidP="006C2261">
      <w:pPr>
        <w:ind w:firstLine="708"/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пов’язаних із життєдіяльністю міста, </w:t>
      </w:r>
    </w:p>
    <w:p w:rsidR="004A5360" w:rsidRDefault="00C312F5" w:rsidP="006C2261">
      <w:pPr>
        <w:ind w:firstLine="708"/>
        <w:rPr>
          <w:sz w:val="28"/>
          <w:lang w:val="uk-UA"/>
        </w:rPr>
      </w:pPr>
      <w:r w:rsidRPr="009C6B41">
        <w:rPr>
          <w:sz w:val="28"/>
          <w:szCs w:val="28"/>
          <w:lang w:val="uk-UA"/>
        </w:rPr>
        <w:t>ювілярів та трудових колективів</w:t>
      </w:r>
      <w:r>
        <w:rPr>
          <w:sz w:val="28"/>
          <w:szCs w:val="28"/>
          <w:lang w:val="uk-UA"/>
        </w:rPr>
        <w:t xml:space="preserve"> Хмільника</w:t>
      </w:r>
      <w:r w:rsidRPr="00AB72CC">
        <w:rPr>
          <w:sz w:val="28"/>
          <w:lang w:val="uk-UA"/>
        </w:rPr>
        <w:t xml:space="preserve"> </w:t>
      </w:r>
    </w:p>
    <w:p w:rsidR="004A5360" w:rsidRPr="00942E44" w:rsidRDefault="004A5360" w:rsidP="006C2261">
      <w:pPr>
        <w:ind w:firstLine="709"/>
        <w:jc w:val="both"/>
        <w:rPr>
          <w:sz w:val="28"/>
          <w:szCs w:val="28"/>
          <w:lang w:val="uk-UA"/>
        </w:rPr>
      </w:pPr>
    </w:p>
    <w:p w:rsidR="004A5360" w:rsidRPr="00942E44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942E44">
        <w:rPr>
          <w:sz w:val="28"/>
          <w:szCs w:val="28"/>
          <w:lang w:val="uk-UA"/>
        </w:rPr>
        <w:t xml:space="preserve">На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>культури та духовного відродження у м. Хмільнику 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у м.</w:t>
      </w:r>
      <w:r w:rsidR="001E25E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Хмільнику на 2019-2021 роки»</w:t>
      </w:r>
      <w:r w:rsidR="00834EFD" w:rsidRPr="00942E44">
        <w:rPr>
          <w:sz w:val="28"/>
          <w:szCs w:val="28"/>
          <w:lang w:val="uk-UA"/>
        </w:rPr>
        <w:t xml:space="preserve">, </w:t>
      </w:r>
      <w:r w:rsidR="001E25E3" w:rsidRPr="00942E44">
        <w:rPr>
          <w:sz w:val="28"/>
          <w:szCs w:val="28"/>
          <w:lang w:val="uk-UA"/>
        </w:rPr>
        <w:t>враховуючи службов</w:t>
      </w:r>
      <w:r w:rsidR="00076B00">
        <w:rPr>
          <w:sz w:val="28"/>
          <w:szCs w:val="28"/>
          <w:lang w:val="uk-UA"/>
        </w:rPr>
        <w:t>у</w:t>
      </w:r>
      <w:r w:rsidR="001E25E3" w:rsidRPr="00942E44">
        <w:rPr>
          <w:sz w:val="28"/>
          <w:szCs w:val="28"/>
          <w:lang w:val="uk-UA"/>
        </w:rPr>
        <w:t xml:space="preserve"> записку заступника міського голови з питань діяльності виконавчих органів міської ради </w:t>
      </w:r>
      <w:proofErr w:type="spellStart"/>
      <w:r w:rsidR="001E25E3" w:rsidRPr="00942E44">
        <w:rPr>
          <w:sz w:val="28"/>
          <w:szCs w:val="28"/>
          <w:lang w:val="uk-UA"/>
        </w:rPr>
        <w:t>Сташка</w:t>
      </w:r>
      <w:proofErr w:type="spellEnd"/>
      <w:r w:rsidR="001E25E3" w:rsidRPr="00942E44">
        <w:rPr>
          <w:sz w:val="28"/>
          <w:szCs w:val="28"/>
          <w:lang w:val="uk-UA"/>
        </w:rPr>
        <w:t xml:space="preserve"> А.В.</w:t>
      </w:r>
      <w:r w:rsidR="00F258C3">
        <w:rPr>
          <w:sz w:val="28"/>
          <w:szCs w:val="28"/>
          <w:lang w:val="uk-UA"/>
        </w:rPr>
        <w:t xml:space="preserve"> від 20.02.2020 р. 449/01-25</w:t>
      </w:r>
      <w:r w:rsidR="001E25E3" w:rsidRPr="00942E44">
        <w:rPr>
          <w:sz w:val="28"/>
          <w:szCs w:val="28"/>
          <w:lang w:val="uk-UA"/>
        </w:rPr>
        <w:t xml:space="preserve">, </w:t>
      </w:r>
      <w:r w:rsidR="002A75E3" w:rsidRPr="00942E44">
        <w:rPr>
          <w:sz w:val="28"/>
          <w:szCs w:val="28"/>
          <w:lang w:val="uk-UA"/>
        </w:rPr>
        <w:t>з нагоди відкриття адміністративного приміщення управління праці та соціального захисту населення Хмільницької міської ради</w:t>
      </w:r>
      <w:r w:rsidR="004A5360" w:rsidRPr="00942E44">
        <w:rPr>
          <w:sz w:val="28"/>
          <w:szCs w:val="28"/>
          <w:lang w:val="uk-UA"/>
        </w:rPr>
        <w:t xml:space="preserve">, 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942E44" w:rsidRDefault="004A5360" w:rsidP="006C22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6771B" w:rsidRPr="0026771B" w:rsidRDefault="0026771B" w:rsidP="006C226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Нагородити </w:t>
      </w:r>
      <w:r w:rsidR="00C314B9">
        <w:rPr>
          <w:sz w:val="28"/>
          <w:szCs w:val="28"/>
          <w:lang w:val="uk-UA"/>
        </w:rPr>
        <w:t>подяками міського голови</w:t>
      </w:r>
      <w:r w:rsidR="00C314B9" w:rsidRPr="00942E44">
        <w:rPr>
          <w:sz w:val="28"/>
          <w:szCs w:val="28"/>
          <w:lang w:val="uk-UA"/>
        </w:rPr>
        <w:t xml:space="preserve"> </w:t>
      </w:r>
      <w:r w:rsidRPr="00942E44">
        <w:rPr>
          <w:sz w:val="28"/>
          <w:szCs w:val="28"/>
          <w:lang w:val="uk-UA"/>
        </w:rPr>
        <w:t>з нагоди відкриття адміністративного приміщення управління праці та соціального захисту населення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="00312A1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редставника авторського нагляду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І.В., представника технічного нагляду </w:t>
      </w:r>
      <w:proofErr w:type="spellStart"/>
      <w:r>
        <w:rPr>
          <w:sz w:val="28"/>
          <w:szCs w:val="28"/>
          <w:lang w:val="uk-UA"/>
        </w:rPr>
        <w:t>Кухрівську</w:t>
      </w:r>
      <w:proofErr w:type="spellEnd"/>
      <w:r>
        <w:rPr>
          <w:sz w:val="28"/>
          <w:szCs w:val="28"/>
          <w:lang w:val="uk-UA"/>
        </w:rPr>
        <w:t xml:space="preserve"> О.В., директора ПП «Стандарт МСМ» Марчука М.М. та начальника управління праці та соціального захисту населення міської ради Тимошенко І.Я.</w:t>
      </w:r>
    </w:p>
    <w:p w:rsidR="00945F57" w:rsidRDefault="00BA0B9F" w:rsidP="006C226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945F57">
        <w:rPr>
          <w:sz w:val="28"/>
          <w:lang w:val="uk-UA"/>
        </w:rPr>
        <w:t>атвердити кошторис витрат (додається).</w:t>
      </w:r>
    </w:p>
    <w:p w:rsidR="004A5360" w:rsidRDefault="004A5360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4A5360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C2261">
      <w:pPr>
        <w:ind w:firstLine="708"/>
        <w:jc w:val="both"/>
        <w:rPr>
          <w:sz w:val="28"/>
          <w:lang w:val="uk-UA"/>
        </w:rPr>
      </w:pPr>
    </w:p>
    <w:p w:rsidR="004A5360" w:rsidRDefault="004A5360" w:rsidP="006C2261">
      <w:pPr>
        <w:ind w:firstLine="708"/>
        <w:jc w:val="both"/>
        <w:rPr>
          <w:sz w:val="28"/>
          <w:szCs w:val="28"/>
          <w:lang w:val="uk-UA"/>
        </w:rPr>
      </w:pPr>
    </w:p>
    <w:p w:rsidR="002E6CD7" w:rsidRDefault="002E6CD7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Default="00432B3F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Вовчок</w:t>
      </w:r>
    </w:p>
    <w:p w:rsidR="004A5360" w:rsidRDefault="002E6CD7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A5360" w:rsidRDefault="004A5360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CC7C46" w:rsidRDefault="00CC7C4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   розпорядженням  міського голови</w:t>
      </w:r>
    </w:p>
    <w:p w:rsidR="00325079" w:rsidRDefault="0066427A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«21»лютого 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№70-р</w:t>
      </w:r>
    </w:p>
    <w:p w:rsidR="003F1905" w:rsidRPr="000E5354" w:rsidRDefault="003F1905" w:rsidP="006C2261">
      <w:pPr>
        <w:jc w:val="right"/>
        <w:rPr>
          <w:b/>
          <w:sz w:val="28"/>
          <w:szCs w:val="28"/>
          <w:lang w:val="uk-UA"/>
        </w:rPr>
      </w:pPr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C219ED">
        <w:tc>
          <w:tcPr>
            <w:tcW w:w="55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C219ED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3F1905" w:rsidRPr="00D05BF9" w:rsidRDefault="003F1905" w:rsidP="00216F5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>
              <w:rPr>
                <w:sz w:val="28"/>
                <w:szCs w:val="28"/>
                <w:lang w:val="uk-UA"/>
              </w:rPr>
              <w:t>троянд</w:t>
            </w:r>
            <w:r w:rsidRPr="00D05B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F1905" w:rsidRPr="00A00D43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F1905" w:rsidRPr="00D05BF9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F1905" w:rsidRPr="00EA081A" w:rsidRDefault="007F6EBC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240</w:t>
            </w:r>
            <w:r w:rsidR="003F1905" w:rsidRPr="00EA081A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7D1728" w:rsidP="00F03FF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A00D43" w:rsidP="00F03FF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EA081A" w:rsidRDefault="00A6208F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81A">
              <w:rPr>
                <w:b/>
                <w:sz w:val="28"/>
                <w:szCs w:val="28"/>
                <w:lang w:val="uk-UA"/>
              </w:rPr>
              <w:t>84</w:t>
            </w:r>
            <w:r w:rsidR="003F1905" w:rsidRPr="00EA081A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-</w:t>
            </w:r>
            <w:r w:rsidR="00A00D43" w:rsidRPr="00D27C1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3F1905" w:rsidRPr="00D27C13" w:rsidRDefault="003F1905" w:rsidP="00F03FF6">
            <w:pPr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3F1905" w:rsidRPr="00D27C13" w:rsidRDefault="00C431CF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324</w:t>
            </w:r>
            <w:r w:rsidR="00A6208F" w:rsidRPr="00D27C13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5E5"/>
    <w:multiLevelType w:val="hybridMultilevel"/>
    <w:tmpl w:val="14204E0A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443EA"/>
    <w:rsid w:val="000567BB"/>
    <w:rsid w:val="00075FCE"/>
    <w:rsid w:val="00076B00"/>
    <w:rsid w:val="001E25E3"/>
    <w:rsid w:val="00216F50"/>
    <w:rsid w:val="00262AAA"/>
    <w:rsid w:val="0026771B"/>
    <w:rsid w:val="002A75E3"/>
    <w:rsid w:val="002B2242"/>
    <w:rsid w:val="002E6CD7"/>
    <w:rsid w:val="00312A1E"/>
    <w:rsid w:val="00325079"/>
    <w:rsid w:val="00376BB5"/>
    <w:rsid w:val="003F1905"/>
    <w:rsid w:val="00432B3F"/>
    <w:rsid w:val="004A2E5F"/>
    <w:rsid w:val="004A5360"/>
    <w:rsid w:val="004C5365"/>
    <w:rsid w:val="004C77AA"/>
    <w:rsid w:val="00535FA2"/>
    <w:rsid w:val="0066427A"/>
    <w:rsid w:val="006C2261"/>
    <w:rsid w:val="00714E42"/>
    <w:rsid w:val="0073098C"/>
    <w:rsid w:val="00752FAB"/>
    <w:rsid w:val="007729BD"/>
    <w:rsid w:val="007D1728"/>
    <w:rsid w:val="007F6EBC"/>
    <w:rsid w:val="00834EFD"/>
    <w:rsid w:val="008708C5"/>
    <w:rsid w:val="008857B4"/>
    <w:rsid w:val="008E08CD"/>
    <w:rsid w:val="009212BE"/>
    <w:rsid w:val="0093466D"/>
    <w:rsid w:val="00942E44"/>
    <w:rsid w:val="00945F57"/>
    <w:rsid w:val="00995EEE"/>
    <w:rsid w:val="009A4B4F"/>
    <w:rsid w:val="009A7927"/>
    <w:rsid w:val="009C6B41"/>
    <w:rsid w:val="00A00D43"/>
    <w:rsid w:val="00A514EA"/>
    <w:rsid w:val="00A6208F"/>
    <w:rsid w:val="00A72DAD"/>
    <w:rsid w:val="00A812CD"/>
    <w:rsid w:val="00AC1448"/>
    <w:rsid w:val="00B530B3"/>
    <w:rsid w:val="00B73E5C"/>
    <w:rsid w:val="00BA0B9F"/>
    <w:rsid w:val="00BD5E23"/>
    <w:rsid w:val="00BD735F"/>
    <w:rsid w:val="00C10424"/>
    <w:rsid w:val="00C312F5"/>
    <w:rsid w:val="00C314B9"/>
    <w:rsid w:val="00C34E62"/>
    <w:rsid w:val="00C431CF"/>
    <w:rsid w:val="00C51E44"/>
    <w:rsid w:val="00C57DA0"/>
    <w:rsid w:val="00CC7C46"/>
    <w:rsid w:val="00D27C13"/>
    <w:rsid w:val="00D669CE"/>
    <w:rsid w:val="00DC222D"/>
    <w:rsid w:val="00E07F93"/>
    <w:rsid w:val="00E15DD1"/>
    <w:rsid w:val="00E243BD"/>
    <w:rsid w:val="00E65AC4"/>
    <w:rsid w:val="00EA081A"/>
    <w:rsid w:val="00EB5801"/>
    <w:rsid w:val="00F03FF6"/>
    <w:rsid w:val="00F258C3"/>
    <w:rsid w:val="00F42D8E"/>
    <w:rsid w:val="00F52B8D"/>
    <w:rsid w:val="00F56709"/>
    <w:rsid w:val="00FB2436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2020-02-21T09:05:00Z</cp:lastPrinted>
  <dcterms:created xsi:type="dcterms:W3CDTF">2020-02-21T08:45:00Z</dcterms:created>
  <dcterms:modified xsi:type="dcterms:W3CDTF">2020-02-26T13:02:00Z</dcterms:modified>
</cp:coreProperties>
</file>